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2" w:afterLines="10"/>
        <w:jc w:val="left"/>
        <w:textAlignment w:val="auto"/>
        <w:rPr>
          <w:rFonts w:ascii="黑体" w:hAnsi="宋体" w:eastAsia="黑体"/>
          <w:b/>
          <w:sz w:val="28"/>
          <w:szCs w:val="28"/>
        </w:rPr>
      </w:pPr>
      <w:r>
        <w:rPr>
          <w:rFonts w:ascii="黑体" w:hAnsi="宋体" w:eastAsia="黑体"/>
          <w:b/>
          <w:sz w:val="28"/>
          <w:szCs w:val="28"/>
        </w:rPr>
        <w:drawing>
          <wp:anchor distT="0" distB="0" distL="114300" distR="114300" simplePos="0" relativeHeight="251660288" behindDoc="0" locked="0" layoutInCell="1" allowOverlap="1">
            <wp:simplePos x="0" y="0"/>
            <wp:positionH relativeFrom="column">
              <wp:posOffset>5394960</wp:posOffset>
            </wp:positionH>
            <wp:positionV relativeFrom="paragraph">
              <wp:posOffset>1270</wp:posOffset>
            </wp:positionV>
            <wp:extent cx="804545" cy="798830"/>
            <wp:effectExtent l="0" t="0" r="0" b="127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04545" cy="798830"/>
                    </a:xfrm>
                    <a:prstGeom prst="rect">
                      <a:avLst/>
                    </a:prstGeom>
                    <a:noFill/>
                  </pic:spPr>
                </pic:pic>
              </a:graphicData>
            </a:graphic>
          </wp:anchor>
        </w:drawing>
      </w:r>
      <w:r>
        <w:rPr>
          <w:rFonts w:ascii="黑体" w:hAnsi="宋体" w:eastAsia="黑体"/>
          <w:b/>
          <w:sz w:val="28"/>
          <w:szCs w:val="28"/>
        </w:rPr>
        <w:drawing>
          <wp:anchor distT="0" distB="0" distL="114300" distR="114300" simplePos="0" relativeHeight="251659264" behindDoc="0" locked="0" layoutInCell="1" allowOverlap="1">
            <wp:simplePos x="0" y="0"/>
            <wp:positionH relativeFrom="column">
              <wp:posOffset>4441825</wp:posOffset>
            </wp:positionH>
            <wp:positionV relativeFrom="paragraph">
              <wp:posOffset>29210</wp:posOffset>
            </wp:positionV>
            <wp:extent cx="737870" cy="743585"/>
            <wp:effectExtent l="0" t="0" r="508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37870" cy="743585"/>
                    </a:xfrm>
                    <a:prstGeom prst="rect">
                      <a:avLst/>
                    </a:prstGeom>
                    <a:noFill/>
                  </pic:spPr>
                </pic:pic>
              </a:graphicData>
            </a:graphic>
          </wp:anchor>
        </w:drawing>
      </w:r>
      <w:r>
        <w:rPr>
          <w:rFonts w:hint="eastAsia" w:ascii="黑体" w:eastAsia="黑体"/>
          <w:sz w:val="28"/>
          <w:szCs w:val="28"/>
        </w:rPr>
        <w:t>版 本 号：</w:t>
      </w:r>
      <w:r>
        <w:rPr>
          <w:rFonts w:hint="eastAsia" w:ascii="黑体" w:hAnsi="宋体" w:eastAsia="黑体"/>
          <w:b/>
          <w:sz w:val="28"/>
          <w:szCs w:val="28"/>
        </w:rPr>
        <w:t xml:space="preserve">YBTC-4-001                        </w:t>
      </w:r>
      <w:r>
        <w:rPr>
          <w:rFonts w:ascii="黑体" w:hAnsi="宋体" w:eastAsia="黑体"/>
          <w:b/>
          <w:sz w:val="28"/>
          <w:szCs w:val="28"/>
        </w:rPr>
        <w:t xml:space="preserve">  </w:t>
      </w:r>
    </w:p>
    <w:p>
      <w:pPr>
        <w:ind w:left="2"/>
        <w:jc w:val="left"/>
        <w:rPr>
          <w:rFonts w:ascii="黑体" w:eastAsia="黑体"/>
          <w:sz w:val="30"/>
          <w:szCs w:val="30"/>
        </w:rPr>
      </w:pPr>
      <w:r>
        <w:rPr>
          <w:rFonts w:hint="eastAsia" w:ascii="黑体" w:eastAsia="黑体"/>
          <w:sz w:val="28"/>
          <w:szCs w:val="28"/>
        </w:rPr>
        <w:t>合同编号：</w:t>
      </w:r>
      <w:r>
        <w:rPr>
          <w:rFonts w:hint="eastAsia" w:ascii="黑体" w:eastAsia="黑体"/>
          <w:sz w:val="28"/>
          <w:szCs w:val="28"/>
          <w:u w:val="single"/>
        </w:rPr>
        <w:t xml:space="preserve">           </w:t>
      </w:r>
    </w:p>
    <w:p>
      <w:pPr>
        <w:ind w:left="2"/>
        <w:jc w:val="left"/>
        <w:rPr>
          <w:rFonts w:hint="eastAsia" w:ascii="黑体" w:eastAsia="黑体"/>
          <w:szCs w:val="21"/>
        </w:rPr>
      </w:pPr>
      <w:r>
        <w:rPr>
          <w:rFonts w:hint="eastAsia" w:ascii="黑体" w:eastAsia="黑体"/>
          <w:sz w:val="28"/>
          <w:szCs w:val="28"/>
        </w:rPr>
        <w:t xml:space="preserve"> </w:t>
      </w:r>
      <w:r>
        <w:rPr>
          <w:rFonts w:ascii="黑体" w:eastAsia="黑体"/>
          <w:sz w:val="28"/>
          <w:szCs w:val="28"/>
        </w:rPr>
        <w:t xml:space="preserve">                                                 </w:t>
      </w:r>
      <w:r>
        <w:rPr>
          <w:rFonts w:hint="eastAsia" w:ascii="黑体" w:eastAsia="黑体"/>
          <w:szCs w:val="21"/>
        </w:rPr>
        <w:t xml:space="preserve">微信公众号 </w:t>
      </w:r>
      <w:r>
        <w:rPr>
          <w:rFonts w:ascii="黑体" w:eastAsia="黑体"/>
          <w:szCs w:val="21"/>
        </w:rPr>
        <w:t xml:space="preserve">  </w:t>
      </w:r>
      <w:r>
        <w:rPr>
          <w:rFonts w:hint="eastAsia" w:ascii="黑体" w:eastAsia="黑体"/>
          <w:szCs w:val="21"/>
          <w:lang w:val="en-US" w:eastAsia="zh-CN"/>
        </w:rPr>
        <w:t xml:space="preserve">  </w:t>
      </w:r>
      <w:r>
        <w:rPr>
          <w:rFonts w:hint="eastAsia" w:ascii="黑体" w:eastAsia="黑体"/>
          <w:szCs w:val="21"/>
        </w:rPr>
        <w:t>网站二维码</w:t>
      </w:r>
    </w:p>
    <w:p>
      <w:pPr>
        <w:widowControl/>
        <w:jc w:val="center"/>
      </w:pPr>
    </w:p>
    <w:p>
      <w:pPr>
        <w:spacing w:line="1200" w:lineRule="exact"/>
        <w:jc w:val="center"/>
        <w:rPr>
          <w:rFonts w:ascii="黑体" w:eastAsia="黑体"/>
          <w:b/>
          <w:sz w:val="52"/>
          <w:szCs w:val="52"/>
        </w:rPr>
      </w:pPr>
      <w:r>
        <w:rPr>
          <w:rFonts w:ascii="黑体" w:eastAsia="黑体"/>
          <w:b/>
          <w:sz w:val="52"/>
          <w:szCs w:val="52"/>
        </w:rPr>
        <w:drawing>
          <wp:anchor distT="0" distB="0" distL="114300" distR="114300" simplePos="0" relativeHeight="251661312" behindDoc="1" locked="0" layoutInCell="1" allowOverlap="1">
            <wp:simplePos x="0" y="0"/>
            <wp:positionH relativeFrom="page">
              <wp:posOffset>3094355</wp:posOffset>
            </wp:positionH>
            <wp:positionV relativeFrom="paragraph">
              <wp:posOffset>287020</wp:posOffset>
            </wp:positionV>
            <wp:extent cx="1593215" cy="1593215"/>
            <wp:effectExtent l="0" t="0" r="6985" b="698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93215" cy="1593215"/>
                    </a:xfrm>
                    <a:prstGeom prst="rect">
                      <a:avLst/>
                    </a:prstGeom>
                    <a:noFill/>
                    <a:ln>
                      <a:noFill/>
                    </a:ln>
                  </pic:spPr>
                </pic:pic>
              </a:graphicData>
            </a:graphic>
          </wp:anchor>
        </w:drawing>
      </w:r>
      <w:r>
        <w:rPr>
          <w:rFonts w:hint="eastAsia" w:ascii="黑体" w:eastAsia="黑体"/>
          <w:b/>
          <w:sz w:val="52"/>
          <w:szCs w:val="52"/>
        </w:rPr>
        <w:t xml:space="preserve"> </w:t>
      </w:r>
    </w:p>
    <w:p>
      <w:pPr>
        <w:jc w:val="center"/>
        <w:rPr>
          <w:rFonts w:ascii="隶书" w:eastAsia="隶书"/>
          <w:b/>
          <w:bCs/>
          <w:sz w:val="96"/>
          <w:szCs w:val="96"/>
        </w:rPr>
      </w:pPr>
    </w:p>
    <w:p>
      <w:pPr>
        <w:jc w:val="center"/>
        <w:rPr>
          <w:rFonts w:hint="eastAsia" w:ascii="隶书" w:eastAsia="隶书"/>
          <w:b/>
          <w:bCs/>
          <w:sz w:val="96"/>
          <w:szCs w:val="96"/>
        </w:rPr>
      </w:pPr>
    </w:p>
    <w:p>
      <w:pPr>
        <w:jc w:val="center"/>
        <w:rPr>
          <w:rFonts w:ascii="隶书" w:eastAsia="隶书"/>
          <w:b/>
          <w:sz w:val="96"/>
          <w:szCs w:val="96"/>
        </w:rPr>
      </w:pPr>
      <w:r>
        <w:rPr>
          <w:rFonts w:hint="eastAsia" w:ascii="隶书" w:eastAsia="隶书"/>
          <w:b/>
          <w:bCs/>
          <w:sz w:val="96"/>
          <w:szCs w:val="96"/>
        </w:rPr>
        <w:t>认 证 合 同</w:t>
      </w:r>
    </w:p>
    <w:p>
      <w:pPr>
        <w:jc w:val="both"/>
        <w:rPr>
          <w:rFonts w:hint="eastAsia" w:ascii="隶书" w:eastAsia="隶书"/>
          <w:b/>
          <w:sz w:val="72"/>
          <w:szCs w:val="72"/>
        </w:rPr>
      </w:pPr>
    </w:p>
    <w:p>
      <w:pPr>
        <w:ind w:firstLine="1850" w:firstLineChars="658"/>
        <w:jc w:val="left"/>
        <w:rPr>
          <w:rFonts w:ascii="宋体" w:hAnsi="宋体"/>
          <w:b/>
          <w:bCs/>
          <w:sz w:val="28"/>
          <w:u w:val="single"/>
        </w:rPr>
      </w:pPr>
      <w:r>
        <w:rPr>
          <w:rFonts w:hint="eastAsia" w:ascii="宋体" w:hAnsi="宋体"/>
          <w:b/>
          <w:bCs/>
          <w:sz w:val="28"/>
        </w:rPr>
        <w:t>甲方（委托方）：</w:t>
      </w:r>
      <w:r>
        <w:rPr>
          <w:rFonts w:hint="eastAsia" w:ascii="宋体" w:hAnsi="宋体"/>
          <w:b/>
          <w:bCs/>
          <w:sz w:val="28"/>
          <w:u w:val="single"/>
        </w:rPr>
        <w:t xml:space="preserve"> </w:t>
      </w:r>
      <w:r>
        <w:rPr>
          <w:rFonts w:ascii="宋体" w:hAnsi="宋体"/>
          <w:b/>
          <w:bCs/>
          <w:sz w:val="28"/>
          <w:u w:val="single"/>
        </w:rPr>
        <w:t xml:space="preserve"> </w:t>
      </w:r>
      <w:r>
        <w:rPr>
          <w:rFonts w:hint="eastAsia" w:ascii="宋体" w:hAnsi="宋体"/>
          <w:b/>
          <w:bCs/>
          <w:sz w:val="28"/>
          <w:szCs w:val="28"/>
          <w:u w:val="single"/>
        </w:rPr>
        <w:t xml:space="preserve">                        </w:t>
      </w:r>
      <w:r>
        <w:rPr>
          <w:rFonts w:hint="eastAsia" w:ascii="宋体" w:hAnsi="宋体"/>
          <w:b/>
          <w:bCs/>
          <w:sz w:val="28"/>
          <w:u w:val="single"/>
        </w:rPr>
        <w:t xml:space="preserve"> </w:t>
      </w:r>
      <w:r>
        <w:rPr>
          <w:rFonts w:ascii="宋体" w:hAnsi="宋体"/>
          <w:b/>
          <w:bCs/>
          <w:sz w:val="28"/>
          <w:u w:val="single"/>
        </w:rPr>
        <w:t xml:space="preserve"> </w:t>
      </w:r>
      <w:r>
        <w:rPr>
          <w:rFonts w:hint="eastAsia" w:ascii="宋体" w:hAnsi="宋体"/>
          <w:b/>
          <w:bCs/>
          <w:sz w:val="28"/>
          <w:u w:val="single"/>
        </w:rPr>
        <w:t xml:space="preserve"> </w:t>
      </w:r>
    </w:p>
    <w:p>
      <w:pPr>
        <w:ind w:firstLine="1850" w:firstLineChars="658"/>
        <w:jc w:val="left"/>
        <w:rPr>
          <w:rFonts w:ascii="宋体" w:hAnsi="宋体"/>
          <w:b/>
          <w:sz w:val="32"/>
          <w:szCs w:val="32"/>
        </w:rPr>
      </w:pPr>
      <w:r>
        <w:rPr>
          <w:rFonts w:hint="eastAsia" w:ascii="宋体" w:hAnsi="宋体"/>
          <w:b/>
          <w:bCs/>
          <w:sz w:val="28"/>
        </w:rPr>
        <w:t>乙方（认证方）：</w:t>
      </w:r>
      <w:r>
        <w:rPr>
          <w:rFonts w:hint="eastAsia" w:ascii="宋体" w:hAnsi="宋体"/>
          <w:b/>
          <w:bCs/>
          <w:sz w:val="28"/>
          <w:u w:val="single"/>
        </w:rPr>
        <w:t xml:space="preserve"> </w:t>
      </w:r>
      <w:r>
        <w:rPr>
          <w:rFonts w:ascii="宋体" w:hAnsi="宋体"/>
          <w:b/>
          <w:bCs/>
          <w:sz w:val="28"/>
          <w:u w:val="single"/>
        </w:rPr>
        <w:t xml:space="preserve">   </w:t>
      </w:r>
      <w:r>
        <w:rPr>
          <w:rFonts w:hint="eastAsia" w:ascii="宋体" w:hAnsi="宋体"/>
          <w:b/>
          <w:bCs/>
          <w:sz w:val="28"/>
          <w:u w:val="single"/>
        </w:rPr>
        <w:t xml:space="preserve">誉邦检测认证有限公司  </w:t>
      </w:r>
      <w:r>
        <w:rPr>
          <w:rFonts w:ascii="宋体" w:hAnsi="宋体"/>
          <w:b/>
          <w:bCs/>
          <w:sz w:val="28"/>
          <w:u w:val="single"/>
        </w:rPr>
        <w:t xml:space="preserve">  </w:t>
      </w:r>
      <w:r>
        <w:rPr>
          <w:rFonts w:hint="eastAsia" w:ascii="宋体" w:hAnsi="宋体"/>
          <w:b/>
          <w:bCs/>
          <w:sz w:val="28"/>
          <w:u w:val="single"/>
        </w:rPr>
        <w:t xml:space="preserve"> </w:t>
      </w:r>
    </w:p>
    <w:p>
      <w:pPr>
        <w:spacing w:line="440" w:lineRule="exact"/>
        <w:ind w:firstLine="1850" w:firstLineChars="658"/>
        <w:jc w:val="left"/>
        <w:rPr>
          <w:rFonts w:hint="eastAsia" w:ascii="宋体" w:hAnsi="宋体"/>
          <w:b/>
          <w:bCs/>
          <w:sz w:val="28"/>
          <w:szCs w:val="28"/>
        </w:rPr>
      </w:pPr>
      <w:r>
        <w:rPr>
          <w:rFonts w:hint="eastAsia" w:ascii="宋体" w:hAnsi="宋体"/>
          <w:b/>
          <w:bCs/>
          <w:sz w:val="28"/>
          <w:szCs w:val="28"/>
        </w:rPr>
        <w:t xml:space="preserve">签 </w:t>
      </w:r>
      <w:r>
        <w:rPr>
          <w:rFonts w:ascii="宋体" w:hAnsi="宋体"/>
          <w:b/>
          <w:bCs/>
          <w:sz w:val="28"/>
          <w:szCs w:val="28"/>
        </w:rPr>
        <w:t xml:space="preserve"> </w:t>
      </w:r>
      <w:r>
        <w:rPr>
          <w:rFonts w:hint="eastAsia" w:ascii="宋体" w:hAnsi="宋体"/>
          <w:b/>
          <w:bCs/>
          <w:sz w:val="28"/>
          <w:szCs w:val="28"/>
        </w:rPr>
        <w:t xml:space="preserve">定 </w:t>
      </w:r>
      <w:r>
        <w:rPr>
          <w:rFonts w:ascii="宋体" w:hAnsi="宋体"/>
          <w:b/>
          <w:bCs/>
          <w:sz w:val="28"/>
          <w:szCs w:val="28"/>
        </w:rPr>
        <w:t xml:space="preserve"> </w:t>
      </w:r>
      <w:r>
        <w:rPr>
          <w:rFonts w:hint="eastAsia" w:ascii="宋体" w:hAnsi="宋体"/>
          <w:b/>
          <w:bCs/>
          <w:sz w:val="28"/>
          <w:szCs w:val="28"/>
        </w:rPr>
        <w:t xml:space="preserve">时 </w:t>
      </w:r>
      <w:r>
        <w:rPr>
          <w:rFonts w:ascii="宋体" w:hAnsi="宋体"/>
          <w:b/>
          <w:bCs/>
          <w:sz w:val="28"/>
          <w:szCs w:val="28"/>
        </w:rPr>
        <w:t xml:space="preserve"> </w:t>
      </w:r>
      <w:r>
        <w:rPr>
          <w:rFonts w:hint="eastAsia" w:ascii="宋体" w:hAnsi="宋体"/>
          <w:b/>
          <w:bCs/>
          <w:sz w:val="28"/>
          <w:szCs w:val="28"/>
        </w:rPr>
        <w:t>间：</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rPr>
        <w:t>月</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rPr>
        <w:t>日</w:t>
      </w:r>
    </w:p>
    <w:p>
      <w:pPr>
        <w:spacing w:line="440" w:lineRule="exact"/>
        <w:jc w:val="left"/>
        <w:rPr>
          <w:color w:val="000000"/>
          <w:sz w:val="24"/>
        </w:rPr>
      </w:pPr>
    </w:p>
    <w:p>
      <w:pPr>
        <w:spacing w:line="440" w:lineRule="exact"/>
        <w:jc w:val="left"/>
        <w:rPr>
          <w:rFonts w:hint="eastAsia"/>
          <w:color w:val="000000"/>
          <w:sz w:val="24"/>
        </w:rPr>
      </w:pPr>
    </w:p>
    <w:p>
      <w:pPr>
        <w:spacing w:line="440" w:lineRule="exact"/>
        <w:jc w:val="left"/>
        <w:rPr>
          <w:rFonts w:hint="eastAsia"/>
          <w:color w:val="000000"/>
          <w:sz w:val="24"/>
        </w:rPr>
      </w:pPr>
    </w:p>
    <w:p>
      <w:pPr>
        <w:spacing w:line="440" w:lineRule="exact"/>
        <w:jc w:val="center"/>
        <w:rPr>
          <w:rFonts w:hint="eastAsia" w:ascii="宋体" w:hAnsi="宋体"/>
          <w:b/>
          <w:bCs/>
          <w:sz w:val="28"/>
          <w:szCs w:val="28"/>
        </w:rPr>
      </w:pPr>
      <w:r>
        <w:rPr>
          <w:color w:val="000000"/>
          <w:sz w:val="24"/>
        </w:rPr>
        <w:t>地址：湖南省长沙市开福区金马路61号恒大御景半岛锦绣苑2栋719号</w:t>
      </w:r>
    </w:p>
    <w:p>
      <w:pPr>
        <w:jc w:val="center"/>
        <w:rPr>
          <w:color w:val="000000"/>
          <w:sz w:val="24"/>
        </w:rPr>
      </w:pPr>
      <w:r>
        <w:rPr>
          <w:sz w:val="24"/>
        </w:rPr>
        <w:t xml:space="preserve">电话：（0731）85231115   </w:t>
      </w:r>
      <w:r>
        <w:rPr>
          <w:rFonts w:hint="eastAsia"/>
          <w:sz w:val="24"/>
        </w:rPr>
        <w:t>1</w:t>
      </w:r>
      <w:r>
        <w:rPr>
          <w:sz w:val="24"/>
        </w:rPr>
        <w:t xml:space="preserve">9918870515  13548639001  </w:t>
      </w:r>
      <w:r>
        <w:rPr>
          <w:color w:val="000000"/>
          <w:sz w:val="24"/>
        </w:rPr>
        <w:t>邮编：410005</w:t>
      </w:r>
    </w:p>
    <w:p>
      <w:pPr>
        <w:jc w:val="center"/>
        <w:rPr>
          <w:rFonts w:ascii="宋体" w:hAnsi="宋体"/>
          <w:b/>
          <w:bCs/>
          <w:sz w:val="28"/>
          <w:szCs w:val="28"/>
        </w:rPr>
        <w:sectPr>
          <w:headerReference r:id="rId3" w:type="default"/>
          <w:footerReference r:id="rId4" w:type="default"/>
          <w:pgSz w:w="11906" w:h="16838"/>
          <w:pgMar w:top="1134" w:right="1077" w:bottom="850" w:left="1077" w:header="680" w:footer="680" w:gutter="0"/>
          <w:pgBorders>
            <w:top w:val="none" w:sz="0" w:space="0"/>
            <w:left w:val="none" w:sz="0" w:space="0"/>
            <w:bottom w:val="none" w:sz="0" w:space="0"/>
            <w:right w:val="none" w:sz="0" w:space="0"/>
          </w:pgBorders>
          <w:pgNumType w:start="1"/>
          <w:cols w:space="720" w:num="1"/>
          <w:docGrid w:type="lines" w:linePitch="312" w:charSpace="0"/>
        </w:sectPr>
      </w:pPr>
      <w:r>
        <w:rPr>
          <w:sz w:val="24"/>
        </w:rPr>
        <w:t>网址：</w:t>
      </w:r>
      <w:r>
        <w:fldChar w:fldCharType="begin"/>
      </w:r>
      <w:r>
        <w:instrText xml:space="preserve"> HYPERLINK "http://www.ybtc.org.cn" </w:instrText>
      </w:r>
      <w:r>
        <w:fldChar w:fldCharType="separate"/>
      </w:r>
      <w:r>
        <w:rPr>
          <w:color w:val="0563C1"/>
          <w:kern w:val="0"/>
          <w:sz w:val="24"/>
          <w:u w:val="single"/>
        </w:rPr>
        <w:t>http://www.ybtc.org.cn</w:t>
      </w:r>
      <w:r>
        <w:rPr>
          <w:color w:val="0563C1"/>
          <w:kern w:val="0"/>
          <w:sz w:val="24"/>
          <w:u w:val="single"/>
        </w:rPr>
        <w:fldChar w:fldCharType="end"/>
      </w:r>
      <w:r>
        <w:rPr>
          <w:color w:val="0563C1"/>
          <w:kern w:val="0"/>
          <w:sz w:val="24"/>
        </w:rPr>
        <w:t xml:space="preserve">  </w:t>
      </w:r>
      <w:r>
        <w:rPr>
          <w:rFonts w:hint="eastAsia"/>
          <w:color w:val="0563C1"/>
          <w:kern w:val="0"/>
          <w:sz w:val="24"/>
          <w:lang w:val="en-US" w:eastAsia="zh-CN"/>
        </w:rPr>
        <w:t xml:space="preserve">            </w:t>
      </w:r>
      <w:r>
        <w:rPr>
          <w:kern w:val="0"/>
          <w:sz w:val="24"/>
        </w:rPr>
        <w:t>微信公众号：誉邦检测认证</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Cs/>
          <w:color w:val="auto"/>
          <w:sz w:val="24"/>
        </w:rPr>
      </w:pPr>
      <w:r>
        <w:rPr>
          <w:rFonts w:hint="eastAsia" w:ascii="宋体" w:hAnsi="宋体"/>
          <w:bCs/>
          <w:sz w:val="24"/>
        </w:rPr>
        <w:t>依据《中华人民共和国民法典（合同编）》之规定，</w:t>
      </w:r>
      <w:r>
        <w:rPr>
          <w:rFonts w:hint="eastAsia" w:ascii="宋体" w:hAnsi="宋体"/>
          <w:bCs/>
          <w:color w:val="auto"/>
          <w:sz w:val="24"/>
        </w:rPr>
        <w:t>合同双方就认证审核事宜协商一致，签订本合同，并承诺共同遵守。</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一、内容和要求</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
          <w:bCs/>
          <w:sz w:val="24"/>
        </w:rPr>
      </w:pPr>
      <w:r>
        <w:rPr>
          <w:rFonts w:hint="eastAsia" w:ascii="宋体" w:hAnsi="宋体"/>
          <w:b/>
          <w:bCs/>
          <w:sz w:val="24"/>
        </w:rPr>
        <w:t>1.1 总则</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Cs/>
          <w:sz w:val="24"/>
        </w:rPr>
      </w:pPr>
      <w:r>
        <w:rPr>
          <w:rFonts w:hint="eastAsia" w:ascii="宋体" w:hAnsi="宋体"/>
          <w:bCs/>
          <w:sz w:val="24"/>
        </w:rPr>
        <w:t>乙方根据甲方的申请，通过实施相应的审核或检查评价，确认甲方的管理体系是否符合认证依据和审核准则，以决定是否批准甲方获得或保持认证/注册资格。（注：本合同中的审核，泛指现场或书面的检查、评价和审查等活动）</w:t>
      </w:r>
    </w:p>
    <w:p>
      <w:pPr>
        <w:keepNext w:val="0"/>
        <w:keepLines w:val="0"/>
        <w:pageBreakBefore w:val="0"/>
        <w:widowControl w:val="0"/>
        <w:kinsoku/>
        <w:wordWrap/>
        <w:overflowPunct/>
        <w:topLinePunct w:val="0"/>
        <w:autoSpaceDE/>
        <w:autoSpaceDN/>
        <w:bidi w:val="0"/>
        <w:adjustRightInd/>
        <w:snapToGrid/>
        <w:spacing w:beforeAutospacing="0" w:after="48" w:afterLines="15" w:afterAutospacing="0"/>
        <w:ind w:left="0" w:leftChars="0"/>
        <w:textAlignment w:val="auto"/>
        <w:outlineLvl w:val="0"/>
        <w:rPr>
          <w:rFonts w:hint="eastAsia" w:ascii="宋体" w:hAnsi="宋体" w:eastAsia="宋体" w:cs="宋体"/>
          <w:b/>
          <w:bCs w:val="0"/>
          <w:color w:val="auto"/>
          <w:sz w:val="24"/>
        </w:rPr>
      </w:pPr>
      <w:r>
        <w:rPr>
          <w:rFonts w:hint="eastAsia" w:ascii="宋体" w:hAnsi="宋体" w:eastAsia="宋体" w:cs="宋体"/>
          <w:b/>
          <w:bCs w:val="0"/>
          <w:color w:val="auto"/>
          <w:sz w:val="24"/>
        </w:rPr>
        <w:t>1.2 认证领域及认证依据</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
          <w:bCs/>
          <w:sz w:val="24"/>
        </w:rPr>
      </w:pPr>
      <w:r>
        <w:rPr>
          <w:rFonts w:hint="eastAsia" w:ascii="宋体" w:hAnsi="宋体"/>
          <w:sz w:val="24"/>
        </w:rPr>
        <w:t>根据甲方申请情况，在下面所属空格中打“√”，或仅保留合同约定的认证领域：</w:t>
      </w:r>
    </w:p>
    <w:tbl>
      <w:tblPr>
        <w:tblStyle w:val="7"/>
        <w:tblW w:w="95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5"/>
        <w:gridCol w:w="2881"/>
        <w:gridCol w:w="63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246" w:type="dxa"/>
            <w:gridSpan w:val="2"/>
            <w:tcBorders>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认证领域</w:t>
            </w:r>
          </w:p>
        </w:tc>
        <w:tc>
          <w:tcPr>
            <w:tcW w:w="63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center"/>
              <w:textAlignment w:val="center"/>
              <w:rPr>
                <w:color w:val="000000"/>
                <w:szCs w:val="21"/>
              </w:rPr>
            </w:pPr>
            <w:r>
              <w:rPr>
                <w:rStyle w:val="16"/>
                <w:rFonts w:hint="default"/>
                <w:lang w:bidi="ar"/>
              </w:rPr>
              <w:t>认证依据标准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ascii="宋体" w:hAnsi="宋体" w:cs="宋体"/>
                <w:color w:val="000000"/>
                <w:szCs w:val="21"/>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ascii="宋体" w:hAnsi="宋体"/>
                <w:bCs/>
                <w:szCs w:val="21"/>
              </w:rPr>
            </w:pPr>
            <w:r>
              <w:rPr>
                <w:rFonts w:ascii="宋体" w:hAnsi="宋体"/>
                <w:bCs/>
                <w:szCs w:val="21"/>
              </w:rPr>
              <w:t>质量管理体系</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textAlignment w:val="center"/>
              <w:rPr>
                <w:rFonts w:hint="eastAsia" w:ascii="宋体" w:hAnsi="宋体" w:cs="Times New Roman"/>
                <w:bCs/>
                <w:szCs w:val="21"/>
              </w:rPr>
            </w:pPr>
            <w:r>
              <w:rPr>
                <w:rFonts w:hint="eastAsia" w:ascii="宋体" w:hAnsi="宋体"/>
              </w:rPr>
              <w:t>□</w:t>
            </w:r>
            <w:r>
              <w:rPr>
                <w:rFonts w:hint="eastAsia" w:ascii="宋体" w:hAnsi="宋体" w:cs="Times New Roman"/>
                <w:bCs/>
                <w:szCs w:val="21"/>
              </w:rPr>
              <w:t>GB/T 19001-2016/ISO 9001:2015</w:t>
            </w:r>
            <w:r>
              <w:rPr>
                <w:rFonts w:hint="eastAsia" w:ascii="宋体" w:hAnsi="宋体" w:cs="Times New Roman"/>
                <w:bCs/>
                <w:szCs w:val="21"/>
                <w:lang w:val="en-US" w:eastAsia="zh-CN"/>
              </w:rPr>
              <w:t xml:space="preserve"> </w:t>
            </w:r>
            <w:r>
              <w:rPr>
                <w:rFonts w:hint="eastAsia" w:ascii="宋体" w:hAnsi="宋体"/>
              </w:rPr>
              <w:t>□</w:t>
            </w:r>
            <w:r>
              <w:rPr>
                <w:rFonts w:hint="eastAsia" w:ascii="宋体" w:hAnsi="宋体" w:cs="Times New Roman"/>
                <w:bCs/>
                <w:szCs w:val="21"/>
              </w:rPr>
              <w:t>GB/T 50430-2017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ascii="宋体" w:hAnsi="宋体" w:cs="宋体"/>
                <w:color w:val="000000"/>
                <w:kern w:val="0"/>
                <w:szCs w:val="21"/>
                <w:lang w:bidi="ar"/>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ascii="宋体" w:hAnsi="宋体"/>
                <w:bCs/>
                <w:szCs w:val="21"/>
              </w:rPr>
            </w:pPr>
            <w:r>
              <w:rPr>
                <w:rFonts w:hint="eastAsia" w:ascii="宋体" w:hAnsi="宋体"/>
                <w:bCs/>
                <w:szCs w:val="21"/>
              </w:rPr>
              <w:t>环境管理体系</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textAlignment w:val="center"/>
              <w:rPr>
                <w:rFonts w:ascii="宋体" w:hAnsi="宋体" w:cs="宋体"/>
                <w:color w:val="000000"/>
                <w:kern w:val="0"/>
                <w:szCs w:val="21"/>
                <w:lang w:bidi="ar"/>
              </w:rPr>
            </w:pPr>
            <w:r>
              <w:rPr>
                <w:rFonts w:hint="eastAsia" w:ascii="宋体" w:hAnsi="宋体"/>
                <w:bCs/>
                <w:szCs w:val="21"/>
              </w:rPr>
              <w:t>GB/T 24001-2016/ISO 14001:2015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ascii="宋体" w:hAnsi="宋体" w:cs="宋体"/>
                <w:color w:val="000000"/>
                <w:kern w:val="0"/>
                <w:szCs w:val="21"/>
                <w:lang w:bidi="ar"/>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ascii="宋体" w:hAnsi="宋体"/>
                <w:bCs/>
                <w:szCs w:val="21"/>
              </w:rPr>
            </w:pPr>
            <w:r>
              <w:rPr>
                <w:rFonts w:hint="eastAsia" w:ascii="宋体" w:hAnsi="宋体"/>
                <w:bCs/>
                <w:szCs w:val="21"/>
              </w:rPr>
              <w:t>职业健康安全管理体系</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textAlignment w:val="center"/>
              <w:rPr>
                <w:rFonts w:ascii="宋体" w:hAnsi="宋体" w:cs="宋体"/>
                <w:color w:val="000000"/>
                <w:kern w:val="0"/>
                <w:szCs w:val="21"/>
                <w:lang w:bidi="ar"/>
              </w:rPr>
            </w:pPr>
            <w:r>
              <w:rPr>
                <w:rFonts w:hint="eastAsia" w:ascii="宋体" w:hAnsi="宋体"/>
                <w:bCs/>
                <w:szCs w:val="21"/>
              </w:rPr>
              <w:t>GB/T</w:t>
            </w:r>
            <w:r>
              <w:rPr>
                <w:rFonts w:hint="eastAsia" w:ascii="宋体" w:hAnsi="宋体"/>
                <w:bCs/>
                <w:szCs w:val="21"/>
                <w:lang w:val="en-US" w:eastAsia="zh-CN"/>
              </w:rPr>
              <w:t xml:space="preserve"> </w:t>
            </w:r>
            <w:r>
              <w:rPr>
                <w:rFonts w:ascii="宋体" w:hAnsi="宋体"/>
                <w:bCs/>
                <w:szCs w:val="21"/>
              </w:rPr>
              <w:t>45</w:t>
            </w:r>
            <w:r>
              <w:rPr>
                <w:rFonts w:hint="eastAsia" w:ascii="宋体" w:hAnsi="宋体"/>
                <w:bCs/>
                <w:szCs w:val="21"/>
              </w:rPr>
              <w:t>001-20</w:t>
            </w:r>
            <w:r>
              <w:rPr>
                <w:rFonts w:ascii="宋体" w:hAnsi="宋体"/>
                <w:bCs/>
                <w:szCs w:val="21"/>
              </w:rPr>
              <w:t>20</w:t>
            </w:r>
            <w:r>
              <w:rPr>
                <w:rFonts w:hint="eastAsia" w:ascii="宋体" w:hAnsi="宋体"/>
                <w:bCs/>
                <w:szCs w:val="21"/>
              </w:rPr>
              <w:t>/</w:t>
            </w:r>
            <w:r>
              <w:fldChar w:fldCharType="begin"/>
            </w:r>
            <w:r>
              <w:instrText xml:space="preserve"> HYPERLINK "http://www.baidu.com/link?url=prVOfd8NU6wIz2vcL0WIlcJgZPs43eeZHrLj0sbMkevvCffP5FT9bczYIUvfj3YTcO6cvCoUX6U8BJ2NGsnCYK" \t "https://www.baidu.com/_blank" </w:instrText>
            </w:r>
            <w:r>
              <w:fldChar w:fldCharType="separate"/>
            </w:r>
            <w:r>
              <w:rPr>
                <w:rFonts w:hint="eastAsia" w:ascii="宋体" w:hAnsi="宋体"/>
                <w:bCs/>
                <w:szCs w:val="21"/>
              </w:rPr>
              <w:t>ISO 45001:2018</w:t>
            </w:r>
            <w:r>
              <w:rPr>
                <w:rFonts w:hint="eastAsia" w:ascii="宋体" w:hAnsi="宋体"/>
                <w:bCs/>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ascii="宋体" w:hAnsi="宋体" w:cs="宋体"/>
                <w:bCs/>
                <w:szCs w:val="21"/>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ascii="宋体" w:hAnsi="宋体"/>
                <w:szCs w:val="21"/>
              </w:rPr>
            </w:pPr>
            <w:r>
              <w:rPr>
                <w:rFonts w:hint="eastAsia" w:ascii="宋体" w:hAnsi="宋体" w:eastAsia="宋体" w:cs="宋体"/>
                <w:sz w:val="21"/>
                <w:szCs w:val="21"/>
                <w:u w:val="none"/>
              </w:rPr>
              <w:t>食品安全管理体系</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48" w:afterLines="15" w:afterAutospacing="0"/>
              <w:ind w:left="0" w:leftChars="0"/>
              <w:rPr>
                <w:rFonts w:hint="default"/>
                <w:b w:val="0"/>
                <w:kern w:val="2"/>
                <w:sz w:val="21"/>
                <w:szCs w:val="24"/>
              </w:rPr>
            </w:pPr>
            <w:r>
              <w:rPr>
                <w:rFonts w:hint="default"/>
                <w:b w:val="0"/>
                <w:kern w:val="2"/>
                <w:sz w:val="21"/>
                <w:szCs w:val="24"/>
              </w:rPr>
              <w:t>ISO 22000:2018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hint="eastAsia" w:ascii="宋体" w:hAnsi="宋体" w:cs="宋体"/>
                <w:bCs/>
                <w:szCs w:val="21"/>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hint="eastAsia" w:ascii="宋体" w:hAnsi="宋体"/>
              </w:rPr>
            </w:pPr>
            <w:r>
              <w:rPr>
                <w:rFonts w:hint="eastAsia" w:ascii="宋体" w:hAnsi="宋体" w:eastAsia="宋体" w:cs="宋体"/>
                <w:sz w:val="21"/>
                <w:szCs w:val="21"/>
                <w:u w:val="none"/>
              </w:rPr>
              <w:t>危害分析与关键控制点认证</w:t>
            </w:r>
            <w:r>
              <w:rPr>
                <w:rFonts w:hint="eastAsia" w:ascii="宋体" w:hAnsi="宋体" w:cs="宋体"/>
                <w:sz w:val="21"/>
                <w:szCs w:val="21"/>
                <w:u w:val="none"/>
                <w:lang w:val="en-US" w:eastAsia="zh-CN"/>
              </w:rPr>
              <w:t xml:space="preserve"> </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48" w:afterLines="15" w:afterAutospacing="0"/>
              <w:ind w:left="0" w:leftChars="0"/>
              <w:rPr>
                <w:b w:val="0"/>
                <w:bCs/>
                <w:kern w:val="2"/>
                <w:sz w:val="21"/>
                <w:szCs w:val="24"/>
              </w:rPr>
            </w:pPr>
            <w:r>
              <w:rPr>
                <w:rFonts w:hint="eastAsia" w:ascii="宋体" w:hAnsi="宋体" w:cs="宋体"/>
                <w:b w:val="0"/>
                <w:bCs/>
                <w:sz w:val="21"/>
                <w:szCs w:val="21"/>
                <w:u w:val="none"/>
                <w:lang w:val="en-US" w:eastAsia="zh-CN"/>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hint="eastAsia" w:ascii="宋体" w:hAnsi="宋体" w:cs="宋体"/>
                <w:bCs/>
                <w:szCs w:val="21"/>
              </w:rPr>
            </w:pPr>
            <w:r>
              <w:rPr>
                <w:rFonts w:hint="eastAsia" w:ascii="宋体" w:hAnsi="宋体"/>
              </w:rPr>
              <w:t>□</w:t>
            </w: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hint="eastAsia" w:ascii="宋体" w:hAnsi="宋体"/>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48" w:afterLines="15" w:afterAutospacing="0"/>
              <w:ind w:left="0" w:leftChars="0"/>
              <w:rPr>
                <w:b w:val="0"/>
                <w:kern w:val="2"/>
                <w:sz w:val="21"/>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hint="eastAsia" w:ascii="宋体" w:hAnsi="宋体"/>
              </w:rPr>
            </w:pP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hint="eastAsia" w:ascii="宋体" w:hAnsi="宋体"/>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48" w:afterLines="15" w:afterAutospacing="0"/>
              <w:ind w:left="0" w:leftChars="0"/>
              <w:rPr>
                <w:b w:val="0"/>
                <w:kern w:val="2"/>
                <w:sz w:val="21"/>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365" w:type="dxa"/>
            <w:tcBorders>
              <w:top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hanging="259"/>
              <w:jc w:val="right"/>
              <w:rPr>
                <w:rFonts w:hint="eastAsia" w:ascii="宋体" w:hAnsi="宋体"/>
              </w:rPr>
            </w:pPr>
          </w:p>
        </w:tc>
        <w:tc>
          <w:tcPr>
            <w:tcW w:w="288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beforeAutospacing="0" w:after="48" w:afterLines="15" w:afterAutospacing="0"/>
              <w:ind w:left="0" w:leftChars="0"/>
              <w:jc w:val="left"/>
              <w:textAlignment w:val="center"/>
              <w:rPr>
                <w:rFonts w:hint="eastAsia" w:ascii="宋体" w:hAnsi="宋体"/>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48" w:afterLines="15" w:afterAutospacing="0"/>
              <w:ind w:left="0" w:leftChars="0"/>
              <w:rPr>
                <w:b w:val="0"/>
                <w:kern w:val="2"/>
                <w:sz w:val="21"/>
                <w:szCs w:val="24"/>
              </w:rPr>
            </w:pPr>
          </w:p>
        </w:tc>
      </w:tr>
    </w:tbl>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ascii="宋体" w:hAnsi="宋体"/>
          <w:b/>
          <w:bCs/>
          <w:sz w:val="24"/>
        </w:rPr>
      </w:pP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rFonts w:hint="eastAsia" w:ascii="宋体" w:hAnsi="宋体"/>
          <w:b/>
          <w:bCs/>
          <w:sz w:val="24"/>
        </w:rPr>
        <w:t>1.3 认证所覆盖的产品/活动/服务范围和边界</w:t>
      </w:r>
      <w:r>
        <w:rPr>
          <w:rFonts w:hint="eastAsia" w:ascii="宋体" w:hAnsi="宋体"/>
          <w:bCs/>
          <w:sz w:val="24"/>
        </w:rPr>
        <w:t>（含分场所涉及证书附件内容）：</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Cs/>
          <w:sz w:val="28"/>
          <w:szCs w:val="28"/>
          <w:u w:val="single"/>
        </w:rPr>
      </w:pPr>
      <w:r>
        <w:rPr>
          <w:rFonts w:hint="eastAsia" w:ascii="宋体" w:hAnsi="宋体"/>
          <w:bCs/>
          <w:sz w:val="24"/>
        </w:rPr>
        <w:t>认证覆盖范围：</w:t>
      </w:r>
      <w:r>
        <w:rPr>
          <w:rFonts w:hint="eastAsia" w:ascii="宋体" w:hAnsi="宋体" w:cs="宋体"/>
          <w:color w:val="000000"/>
          <w:sz w:val="24"/>
          <w:u w:val="single"/>
          <w:shd w:val="clear" w:color="auto" w:fill="FFFFFF"/>
        </w:rPr>
        <w:t xml:space="preserve">                          </w:t>
      </w:r>
      <w:r>
        <w:rPr>
          <w:rFonts w:hint="eastAsia" w:ascii="宋体" w:hAnsi="宋体" w:cs="宋体"/>
          <w:color w:val="000000"/>
          <w:sz w:val="24"/>
          <w:u w:val="single"/>
          <w:shd w:val="clear" w:color="auto" w:fill="FFFFFF"/>
          <w:lang w:val="en-US" w:eastAsia="zh-CN"/>
        </w:rPr>
        <w:t xml:space="preserve">      (注册范围和边界以乙方注册审议最终界定为准)</w:t>
      </w:r>
      <w:r>
        <w:rPr>
          <w:rFonts w:hint="eastAsia" w:ascii="宋体" w:hAnsi="宋体" w:cs="宋体"/>
          <w:color w:val="000000"/>
          <w:sz w:val="24"/>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
          <w:bCs/>
          <w:sz w:val="24"/>
        </w:rPr>
      </w:pPr>
      <w:r>
        <w:rPr>
          <w:rFonts w:hint="eastAsia" w:ascii="宋体" w:hAnsi="宋体"/>
          <w:b/>
          <w:bCs/>
          <w:sz w:val="24"/>
        </w:rPr>
        <w:t>1.4 认证所覆盖场所及审核类别</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20" w:firstLineChars="200"/>
        <w:jc w:val="left"/>
        <w:rPr>
          <w:rFonts w:ascii="宋体" w:hAnsi="宋体"/>
          <w:bCs/>
          <w:sz w:val="24"/>
        </w:rPr>
      </w:pPr>
      <w:r>
        <w:rPr>
          <w:rFonts w:hint="eastAsia" w:ascii="宋体" w:hAnsi="宋体"/>
        </w:rPr>
        <w:t>□</w:t>
      </w:r>
      <w:r>
        <w:rPr>
          <w:rFonts w:hint="eastAsia" w:ascii="宋体" w:hAnsi="宋体"/>
          <w:bCs/>
          <w:sz w:val="24"/>
        </w:rPr>
        <w:t>注册地址：</w:t>
      </w:r>
      <w:r>
        <w:rPr>
          <w:rFonts w:ascii="宋体" w:hAnsi="宋体"/>
          <w:bCs/>
          <w:sz w:val="24"/>
          <w:u w:val="single"/>
        </w:rPr>
        <w:t xml:space="preserve"> </w:t>
      </w:r>
      <w:r>
        <w:rPr>
          <w:rFonts w:hint="eastAsia" w:ascii="宋体" w:hAnsi="宋体" w:cs="宋体"/>
          <w:color w:val="131313"/>
          <w:sz w:val="24"/>
          <w:u w:val="single"/>
          <w:shd w:val="clear" w:color="auto" w:fill="FFFFFF"/>
        </w:rPr>
        <w:t xml:space="preserve">                               </w:t>
      </w:r>
      <w:r>
        <w:rPr>
          <w:rFonts w:hint="eastAsia" w:ascii="宋体" w:hAnsi="宋体" w:cs="宋体"/>
          <w:color w:val="131313"/>
          <w:sz w:val="24"/>
          <w:u w:val="single"/>
          <w:shd w:val="clear" w:color="auto" w:fill="FFFFFF"/>
          <w:lang w:val="en-US" w:eastAsia="zh-CN"/>
        </w:rPr>
        <w:t xml:space="preserve">            </w:t>
      </w:r>
      <w:r>
        <w:rPr>
          <w:rFonts w:hint="eastAsia" w:ascii="宋体" w:hAnsi="宋体" w:cs="宋体"/>
          <w:color w:val="131313"/>
          <w:sz w:val="24"/>
          <w:u w:val="single"/>
          <w:shd w:val="clear" w:color="auto" w:fill="FFFFFF"/>
        </w:rPr>
        <w:t xml:space="preserve">                        </w:t>
      </w:r>
      <w:r>
        <w:rPr>
          <w:rFonts w:ascii="宋体" w:hAnsi="宋体"/>
          <w:bCs/>
          <w:sz w:val="24"/>
          <w:u w:val="single"/>
        </w:rPr>
        <w:t xml:space="preserve">  </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20" w:firstLineChars="200"/>
        <w:jc w:val="left"/>
        <w:rPr>
          <w:rFonts w:ascii="宋体" w:hAnsi="宋体"/>
          <w:bCs/>
          <w:sz w:val="24"/>
          <w:u w:val="single"/>
        </w:rPr>
      </w:pPr>
      <w:r>
        <w:rPr>
          <w:rFonts w:hint="eastAsia" w:ascii="宋体" w:hAnsi="宋体"/>
        </w:rPr>
        <w:t>□</w:t>
      </w:r>
      <w:r>
        <w:rPr>
          <w:rFonts w:hint="eastAsia" w:ascii="宋体" w:hAnsi="宋体"/>
          <w:bCs/>
          <w:sz w:val="24"/>
        </w:rPr>
        <w:t>生产经营/服务地址（处）：</w:t>
      </w:r>
      <w:r>
        <w:rPr>
          <w:rFonts w:hint="eastAsia" w:ascii="宋体" w:hAnsi="宋体" w:cs="宋体"/>
          <w:color w:val="131313"/>
          <w:sz w:val="24"/>
          <w:u w:val="single"/>
          <w:shd w:val="clear" w:color="auto" w:fill="FFFFFF"/>
        </w:rPr>
        <w:t xml:space="preserve">                     </w:t>
      </w:r>
      <w:r>
        <w:rPr>
          <w:rFonts w:hint="eastAsia" w:ascii="宋体" w:hAnsi="宋体" w:cs="宋体"/>
          <w:color w:val="131313"/>
          <w:sz w:val="24"/>
          <w:u w:val="single"/>
          <w:shd w:val="clear" w:color="auto" w:fill="FFFFFF"/>
          <w:lang w:val="en-US" w:eastAsia="zh-CN"/>
        </w:rPr>
        <w:t xml:space="preserve">         </w:t>
      </w:r>
      <w:r>
        <w:rPr>
          <w:rFonts w:hint="eastAsia" w:ascii="宋体" w:hAnsi="宋体" w:cs="宋体"/>
          <w:color w:val="131313"/>
          <w:sz w:val="24"/>
          <w:u w:val="single"/>
          <w:shd w:val="clear" w:color="auto" w:fill="FFFFFF"/>
        </w:rPr>
        <w:t xml:space="preserve">                     </w:t>
      </w:r>
      <w:r>
        <w:rPr>
          <w:rFonts w:ascii="Helvetica" w:hAnsi="Helvetica" w:cs="Helvetica"/>
          <w:color w:val="333333"/>
          <w:sz w:val="24"/>
          <w:u w:val="single"/>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rFonts w:hint="eastAsia" w:ascii="宋体" w:hAnsi="宋体"/>
          <w:b/>
          <w:bCs/>
          <w:sz w:val="24"/>
        </w:rPr>
        <w:t>1.5 现场审核</w:t>
      </w:r>
      <w:r>
        <w:rPr>
          <w:rFonts w:ascii="宋体" w:hAnsi="宋体"/>
          <w:b/>
          <w:bCs/>
          <w:sz w:val="24"/>
        </w:rPr>
        <w:t>时间</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Cs/>
          <w:sz w:val="24"/>
        </w:rPr>
      </w:pPr>
      <w:r>
        <w:rPr>
          <w:rFonts w:hint="eastAsia" w:ascii="宋体" w:hAnsi="宋体"/>
          <w:bCs/>
          <w:sz w:val="24"/>
        </w:rPr>
        <w:t>双方约定的初次审核/再认证审核时间拟定于</w:t>
      </w:r>
      <w:r>
        <w:rPr>
          <w:rFonts w:ascii="宋体" w:hAnsi="宋体"/>
          <w:bCs/>
          <w:sz w:val="24"/>
          <w:u w:val="single"/>
        </w:rPr>
        <w:t xml:space="preserve"> </w:t>
      </w:r>
      <w:r>
        <w:rPr>
          <w:rFonts w:hint="eastAsia" w:ascii="宋体" w:hAnsi="宋体"/>
          <w:bCs/>
          <w:sz w:val="24"/>
          <w:u w:val="single"/>
          <w:lang w:val="en-US" w:eastAsia="zh-CN"/>
        </w:rPr>
        <w:t xml:space="preserve">   </w:t>
      </w:r>
      <w:r>
        <w:rPr>
          <w:rFonts w:hint="eastAsia" w:ascii="宋体" w:hAnsi="宋体"/>
          <w:bCs/>
          <w:sz w:val="24"/>
          <w:u w:val="none"/>
          <w:lang w:val="en-US" w:eastAsia="zh-CN"/>
        </w:rPr>
        <w:t>年</w:t>
      </w:r>
      <w:r>
        <w:rPr>
          <w:rFonts w:hint="eastAsia" w:ascii="宋体" w:hAnsi="宋体"/>
          <w:bCs/>
          <w:sz w:val="24"/>
          <w:u w:val="single"/>
          <w:lang w:val="en-US" w:eastAsia="zh-CN"/>
        </w:rPr>
        <w:t xml:space="preserve">    </w:t>
      </w:r>
      <w:r>
        <w:rPr>
          <w:rFonts w:hint="eastAsia" w:ascii="宋体" w:hAnsi="宋体"/>
          <w:bCs/>
          <w:sz w:val="24"/>
          <w:u w:val="none"/>
          <w:lang w:val="en-US" w:eastAsia="zh-CN"/>
        </w:rPr>
        <w:t>月份</w:t>
      </w:r>
      <w:r>
        <w:rPr>
          <w:rFonts w:hint="eastAsia" w:ascii="宋体" w:hAnsi="宋体"/>
          <w:bCs/>
          <w:sz w:val="24"/>
        </w:rPr>
        <w:t>进行，具体时间以乙方《审核计划》中确定的时间为准。</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
          <w:bCs/>
          <w:sz w:val="24"/>
        </w:rPr>
      </w:pPr>
      <w:r>
        <w:rPr>
          <w:rFonts w:hint="eastAsia" w:ascii="宋体" w:hAnsi="宋体"/>
          <w:b/>
          <w:bCs/>
          <w:sz w:val="24"/>
        </w:rPr>
        <w:t>1.6 认证程序</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hint="eastAsia" w:ascii="宋体" w:hAnsi="宋体"/>
          <w:bCs/>
          <w:sz w:val="24"/>
        </w:rPr>
      </w:pPr>
      <w:r>
        <w:rPr>
          <w:rFonts w:hint="eastAsia" w:ascii="宋体" w:hAnsi="宋体"/>
          <w:bCs/>
          <w:sz w:val="24"/>
        </w:rPr>
        <w:t>合同按一个认证周期进行签订，自签订之日起生效，至认证证书有效期满后失效。有效期内如有变化，可另签补充协议，补充协议与本合同具有同等法律效力。</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
          <w:bCs/>
          <w:sz w:val="24"/>
        </w:rPr>
      </w:pPr>
      <w:r>
        <w:rPr>
          <w:rFonts w:hint="eastAsia" w:ascii="宋体" w:hAnsi="宋体"/>
          <w:bCs/>
          <w:sz w:val="24"/>
        </w:rPr>
        <w:t>完成认证申请并在合同签订后，乙方的</w:t>
      </w:r>
      <w:r>
        <w:rPr>
          <w:rFonts w:ascii="宋体" w:hAnsi="宋体"/>
          <w:bCs/>
          <w:sz w:val="24"/>
        </w:rPr>
        <w:t>认证</w:t>
      </w:r>
      <w:r>
        <w:rPr>
          <w:rFonts w:hint="eastAsia" w:ascii="宋体" w:hAnsi="宋体"/>
          <w:bCs/>
          <w:sz w:val="24"/>
        </w:rPr>
        <w:t>活动还</w:t>
      </w:r>
      <w:r>
        <w:rPr>
          <w:rFonts w:ascii="宋体" w:hAnsi="宋体"/>
          <w:bCs/>
          <w:sz w:val="24"/>
        </w:rPr>
        <w:t>需经过下列程序：</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rFonts w:hAnsi="宋体"/>
          <w:bCs/>
          <w:sz w:val="24"/>
        </w:rPr>
        <w:t>1.6.1对甲方的</w:t>
      </w:r>
      <w:r>
        <w:rPr>
          <w:rFonts w:hAnsi="宋体"/>
          <w:bCs/>
          <w:sz w:val="24"/>
          <w:highlight w:val="none"/>
        </w:rPr>
        <w:t>管理体系</w:t>
      </w:r>
      <w:r>
        <w:rPr>
          <w:rFonts w:hAnsi="宋体"/>
          <w:bCs/>
          <w:sz w:val="24"/>
        </w:rPr>
        <w:t>文件进行审核，并制订审核计划；</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1.6.2</w:t>
      </w:r>
      <w:r>
        <w:rPr>
          <w:rFonts w:hint="eastAsia" w:hAnsi="宋体"/>
          <w:bCs/>
          <w:sz w:val="24"/>
          <w:lang w:val="en-US" w:eastAsia="zh-CN"/>
        </w:rPr>
        <w:t>对</w:t>
      </w:r>
      <w:r>
        <w:rPr>
          <w:rFonts w:hAnsi="宋体"/>
          <w:bCs/>
          <w:sz w:val="24"/>
        </w:rPr>
        <w:t>每次现场审核人员和时间做出妥善安排并书面通知甲方，并按约定时间实施现场审核；</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1.6.3通过审核满足认证要求后，批准注册，颁发认证证书；</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1.6.4获证后定期对其体系实施监督审核和按期实施再认证；</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rFonts w:hAnsi="宋体"/>
          <w:bCs/>
          <w:sz w:val="24"/>
        </w:rPr>
        <w:t>1.6.5</w:t>
      </w:r>
      <w:r>
        <w:rPr>
          <w:rFonts w:hint="eastAsia" w:ascii="宋体" w:hAnsi="宋体"/>
          <w:bCs/>
          <w:sz w:val="24"/>
        </w:rPr>
        <w:t>认证证书有效期为三年，</w:t>
      </w:r>
      <w:r>
        <w:rPr>
          <w:rFonts w:hAnsi="宋体"/>
          <w:bCs/>
          <w:sz w:val="24"/>
        </w:rPr>
        <w:t>在证书生效之日起</w:t>
      </w:r>
      <w:r>
        <w:rPr>
          <w:bCs/>
          <w:sz w:val="24"/>
        </w:rPr>
        <w:t>12</w:t>
      </w:r>
      <w:r>
        <w:rPr>
          <w:rFonts w:hAnsi="宋体"/>
          <w:bCs/>
          <w:sz w:val="24"/>
        </w:rPr>
        <w:t>个月内应</w:t>
      </w:r>
      <w:r>
        <w:rPr>
          <w:rFonts w:hint="eastAsia" w:hAnsi="宋体"/>
          <w:bCs/>
          <w:sz w:val="24"/>
        </w:rPr>
        <w:t>进行第</w:t>
      </w:r>
      <w:r>
        <w:rPr>
          <w:rFonts w:hAnsi="宋体"/>
          <w:bCs/>
          <w:sz w:val="24"/>
        </w:rPr>
        <w:t>一次监督审核</w:t>
      </w:r>
      <w:r>
        <w:rPr>
          <w:rFonts w:hint="eastAsia" w:ascii="宋体" w:hAnsi="宋体"/>
          <w:bCs/>
          <w:sz w:val="24"/>
        </w:rPr>
        <w:t>。此后</w:t>
      </w:r>
      <w:r>
        <w:rPr>
          <w:rFonts w:hint="eastAsia" w:ascii="宋体" w:hAnsi="宋体"/>
          <w:bCs/>
          <w:sz w:val="24"/>
          <w:lang w:val="en-US" w:eastAsia="zh-CN"/>
        </w:rPr>
        <w:t>,</w:t>
      </w:r>
      <w:r>
        <w:rPr>
          <w:rFonts w:hint="eastAsia" w:ascii="宋体" w:hAnsi="宋体"/>
          <w:bCs/>
          <w:sz w:val="24"/>
        </w:rPr>
        <w:t>监督审核应每个日历年（应进行再认证的年份除外）进行一次，且两次监督审核的时间间隔不应超过12个月；</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1.6.6做出暂停、撤销认证证书的决定时，必须书面通知甲方</w:t>
      </w:r>
      <w:r>
        <w:rPr>
          <w:rFonts w:hint="eastAsia"/>
          <w:bCs/>
          <w:sz w:val="24"/>
        </w:rPr>
        <w:t>并</w:t>
      </w:r>
      <w:r>
        <w:rPr>
          <w:rFonts w:hAnsi="宋体"/>
          <w:bCs/>
          <w:sz w:val="24"/>
        </w:rPr>
        <w:t>说明理由；</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1.6.7回答、解释与处理甲方有关认证活动的质疑、申诉、投诉和争议；</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Ansi="宋体"/>
          <w:bCs/>
          <w:sz w:val="24"/>
        </w:rPr>
      </w:pPr>
      <w:r>
        <w:rPr>
          <w:rFonts w:hAnsi="宋体"/>
          <w:bCs/>
          <w:sz w:val="24"/>
        </w:rPr>
        <w:t>1.6.8提供获证组织相关认证信息的查询；</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ascii="宋体" w:hAnsi="宋体" w:eastAsia="宋体"/>
          <w:bCs/>
          <w:sz w:val="24"/>
          <w:lang w:eastAsia="zh-CN"/>
        </w:rPr>
      </w:pPr>
      <w:r>
        <w:rPr>
          <w:rFonts w:hAnsi="宋体"/>
          <w:bCs/>
          <w:sz w:val="24"/>
        </w:rPr>
        <w:t>1.6.9当认证要求变更时，及时通知甲方。</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费用及支付方式</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2.1 □初次认证费/□再认证费：（申请费+注册费+审核费）</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认证费合计：</w:t>
      </w:r>
      <w:r>
        <w:rPr>
          <w:rFonts w:hint="eastAsia"/>
          <w:bCs/>
          <w:sz w:val="24"/>
          <w:u w:val="single"/>
          <w:lang w:val="en-US" w:eastAsia="zh-CN"/>
        </w:rPr>
        <w:t xml:space="preserve">            </w:t>
      </w:r>
      <w:r>
        <w:rPr>
          <w:rFonts w:hint="eastAsia"/>
          <w:bCs/>
          <w:sz w:val="24"/>
          <w:lang w:val="en-US" w:eastAsia="zh-CN"/>
        </w:rPr>
        <w:t xml:space="preserve"> 元（大写：</w:t>
      </w:r>
      <w:r>
        <w:rPr>
          <w:rFonts w:hint="eastAsia"/>
          <w:bCs/>
          <w:sz w:val="24"/>
          <w:u w:val="single"/>
          <w:lang w:val="en-US" w:eastAsia="zh-CN"/>
        </w:rPr>
        <w:t xml:space="preserve">                            </w:t>
      </w:r>
      <w:r>
        <w:rPr>
          <w:rFonts w:hint="eastAsia"/>
          <w:bCs/>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付款时间：合同签订后甲方于三日内支付合同款的</w:t>
      </w:r>
      <w:r>
        <w:rPr>
          <w:rFonts w:hint="eastAsia"/>
          <w:bCs/>
          <w:sz w:val="24"/>
          <w:u w:val="single"/>
          <w:lang w:val="en-US" w:eastAsia="zh-CN"/>
        </w:rPr>
        <w:t xml:space="preserve">     </w:t>
      </w:r>
      <w:r>
        <w:rPr>
          <w:rFonts w:hint="eastAsia"/>
          <w:bCs/>
          <w:sz w:val="24"/>
          <w:lang w:val="en-US" w:eastAsia="zh-CN"/>
        </w:rPr>
        <w:t xml:space="preserve"> %，即 </w:t>
      </w:r>
      <w:r>
        <w:rPr>
          <w:rFonts w:hint="eastAsia"/>
          <w:bCs/>
          <w:sz w:val="24"/>
          <w:u w:val="single"/>
          <w:lang w:val="en-US" w:eastAsia="zh-CN"/>
        </w:rPr>
        <w:t xml:space="preserve">      </w:t>
      </w:r>
      <w:r>
        <w:rPr>
          <w:rFonts w:hint="eastAsia"/>
          <w:bCs/>
          <w:sz w:val="24"/>
          <w:lang w:val="en-US" w:eastAsia="zh-CN"/>
        </w:rPr>
        <w:t xml:space="preserve"> 元，其他款项于现场审核前15日内缴纳。</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2.2 证书有效期为3年，一个认证周期须进行两次监督。</w:t>
      </w:r>
    </w:p>
    <w:p>
      <w:pPr>
        <w:keepNext w:val="0"/>
        <w:keepLines w:val="0"/>
        <w:pageBreakBefore w:val="0"/>
        <w:kinsoku/>
        <w:wordWrap/>
        <w:overflowPunct/>
        <w:topLinePunct w:val="0"/>
        <w:autoSpaceDE/>
        <w:autoSpaceDN/>
        <w:bidi w:val="0"/>
        <w:adjustRightInd/>
        <w:snapToGrid/>
        <w:spacing w:beforeAutospacing="0" w:after="48" w:afterLines="15" w:afterAutospacing="0"/>
        <w:rPr>
          <w:rFonts w:hint="eastAsia"/>
          <w:bCs/>
          <w:sz w:val="24"/>
          <w:lang w:val="en-US" w:eastAsia="zh-CN"/>
        </w:rPr>
      </w:pPr>
      <w:r>
        <w:rPr>
          <w:rFonts w:hint="eastAsia"/>
          <w:bCs/>
          <w:sz w:val="24"/>
          <w:lang w:val="en-US" w:eastAsia="zh-CN"/>
        </w:rPr>
        <w:t>每次监督年审费 合计：</w:t>
      </w:r>
      <w:r>
        <w:rPr>
          <w:rFonts w:hint="eastAsia"/>
          <w:bCs/>
          <w:sz w:val="24"/>
          <w:u w:val="single"/>
          <w:lang w:val="en-US" w:eastAsia="zh-CN"/>
        </w:rPr>
        <w:t xml:space="preserve">        </w:t>
      </w:r>
      <w:r>
        <w:rPr>
          <w:rFonts w:hint="eastAsia"/>
          <w:bCs/>
          <w:sz w:val="24"/>
          <w:lang w:val="en-US" w:eastAsia="zh-CN"/>
        </w:rPr>
        <w:t xml:space="preserve"> 元（大写：</w:t>
      </w:r>
      <w:r>
        <w:rPr>
          <w:rFonts w:hint="eastAsia"/>
          <w:bCs/>
          <w:sz w:val="24"/>
          <w:u w:val="single"/>
          <w:lang w:val="en-US" w:eastAsia="zh-CN"/>
        </w:rPr>
        <w:t xml:space="preserve">                          </w:t>
      </w:r>
      <w:r>
        <w:rPr>
          <w:rFonts w:hint="eastAsia"/>
          <w:bCs/>
          <w:sz w:val="24"/>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付款时间：监督审核前30日内缴纳。</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2.3 认证费用含一套中、英文证书，如需要重新制证或加印证书（副本），按每张100元支付；</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2.4 认证周期内如需扩大认证范围，扩项审核费按照3000元/人日支付。</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eastAsia"/>
          <w:bCs/>
          <w:sz w:val="24"/>
          <w:lang w:val="en-US" w:eastAsia="zh-CN"/>
        </w:rPr>
      </w:pPr>
      <w:r>
        <w:rPr>
          <w:rFonts w:hint="eastAsia"/>
          <w:bCs/>
          <w:sz w:val="24"/>
          <w:lang w:val="en-US" w:eastAsia="zh-CN"/>
        </w:rPr>
        <w:t>2.5 双方商定，审核人员的食、宿、交通费用按实际支出由：□甲方承担，□乙方承担。</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hint="default"/>
          <w:bCs/>
          <w:sz w:val="24"/>
          <w:lang w:val="en-US" w:eastAsia="zh-CN"/>
        </w:rPr>
      </w:pPr>
      <w:r>
        <w:rPr>
          <w:rFonts w:hint="eastAsia"/>
          <w:bCs/>
          <w:sz w:val="24"/>
          <w:lang w:val="en-US" w:eastAsia="zh-CN"/>
        </w:rPr>
        <w:t>注：由于不按期支付，造成审核延误、证书暂停乃至撤销的后果由甲方承担。</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三、乙方责任</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3.1 严格遵守国家关于管理体系认证的法律法规，客观、公正的为甲方提供认证服务；</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3.2 向甲方提供公开性文件及相关认证过程的说明和解释；</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3.3 在签订合同后委派具有资质的人员组成审核组实施审核；</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3.4 向甲方及时提交审核计划，按双方约定时间实施审核并提交审核报告；</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3.5 遵守公正性与保密声明，当向其他组织公开保密信息时，除法律禁止外，应将拟提供的信息提前通知甲方；</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3.6 现场审核通过后及时向甲方颁发认证证书并在认监委网站公示证书信息；</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3.7 甲方获证后，按期实施监督审核或再认证/综合评议换证，必要时实施特殊审核；</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 xml:space="preserve">3.8 </w:t>
      </w:r>
      <w:r>
        <w:rPr>
          <w:bCs/>
          <w:sz w:val="24"/>
        </w:rPr>
        <w:t>按照认证基本规范</w:t>
      </w:r>
      <w:r>
        <w:rPr>
          <w:rFonts w:hint="eastAsia"/>
          <w:bCs/>
          <w:sz w:val="24"/>
        </w:rPr>
        <w:t>和</w:t>
      </w:r>
      <w:r>
        <w:rPr>
          <w:bCs/>
          <w:sz w:val="24"/>
        </w:rPr>
        <w:t>规则要求对其认证的管理体系实施有效的跟踪监督，对不能持续符合认证要求的，</w:t>
      </w:r>
      <w:r>
        <w:rPr>
          <w:rFonts w:hint="eastAsia"/>
          <w:bCs/>
          <w:sz w:val="24"/>
        </w:rPr>
        <w:t>乙方</w:t>
      </w:r>
      <w:r>
        <w:rPr>
          <w:bCs/>
          <w:sz w:val="24"/>
        </w:rPr>
        <w:t>应当暂停或者撤销其认证证书，并采取有效措施避免无效证书和标志</w:t>
      </w:r>
      <w:r>
        <w:rPr>
          <w:rFonts w:hint="eastAsia"/>
          <w:bCs/>
          <w:sz w:val="24"/>
        </w:rPr>
        <w:t>的</w:t>
      </w:r>
      <w:r>
        <w:rPr>
          <w:bCs/>
          <w:sz w:val="24"/>
        </w:rPr>
        <w:t>继续使用</w:t>
      </w:r>
      <w:r>
        <w:rPr>
          <w:rFonts w:hint="eastAsia"/>
          <w:bCs/>
          <w:sz w:val="24"/>
        </w:rPr>
        <w:t>；</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3.9 由于乙方原因造成审核人日或费用的增加，增加部分由乙方承担。</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四、甲方责任</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
          <w:bCs/>
          <w:sz w:val="24"/>
        </w:rPr>
      </w:pPr>
      <w:r>
        <w:rPr>
          <w:rFonts w:hint="eastAsia" w:ascii="宋体" w:hAnsi="宋体"/>
          <w:b/>
          <w:bCs/>
          <w:sz w:val="24"/>
        </w:rPr>
        <w:t>4.1 甲方承诺</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4.</w:t>
      </w:r>
      <w:r>
        <w:rPr>
          <w:rFonts w:hint="eastAsia"/>
          <w:bCs/>
          <w:sz w:val="24"/>
        </w:rPr>
        <w:t>1</w:t>
      </w:r>
      <w:r>
        <w:rPr>
          <w:rFonts w:hint="eastAsia"/>
          <w:bCs/>
          <w:sz w:val="24"/>
          <w:lang w:val="en-US" w:eastAsia="zh-CN"/>
        </w:rPr>
        <w:t>.1</w:t>
      </w:r>
      <w:r>
        <w:rPr>
          <w:rFonts w:hint="eastAsia"/>
          <w:bCs/>
          <w:sz w:val="24"/>
        </w:rPr>
        <w:t>获得认证后持续有效运行管理体系；</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4.</w:t>
      </w:r>
      <w:r>
        <w:rPr>
          <w:rFonts w:hint="eastAsia"/>
          <w:bCs/>
          <w:sz w:val="24"/>
          <w:lang w:val="en-US" w:eastAsia="zh-CN"/>
        </w:rPr>
        <w:t>1.</w:t>
      </w:r>
      <w:r>
        <w:rPr>
          <w:rFonts w:hint="eastAsia"/>
          <w:bCs/>
          <w:sz w:val="24"/>
        </w:rPr>
        <w:t>2文明、诚信经营，并提供真实的材料和信息；</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4.</w:t>
      </w:r>
      <w:r>
        <w:rPr>
          <w:rFonts w:hint="eastAsia"/>
          <w:bCs/>
          <w:sz w:val="24"/>
          <w:lang w:val="en-US" w:eastAsia="zh-CN"/>
        </w:rPr>
        <w:t>1.</w:t>
      </w:r>
      <w:r>
        <w:rPr>
          <w:rFonts w:hint="eastAsia"/>
          <w:bCs/>
          <w:sz w:val="24"/>
        </w:rPr>
        <w:t>3</w:t>
      </w:r>
      <w:r>
        <w:rPr>
          <w:rFonts w:hint="eastAsia"/>
          <w:bCs/>
          <w:sz w:val="24"/>
          <w:lang w:val="en-US" w:eastAsia="zh-CN"/>
        </w:rPr>
        <w:t xml:space="preserve"> </w:t>
      </w:r>
      <w:r>
        <w:rPr>
          <w:rFonts w:hint="eastAsia"/>
          <w:bCs/>
          <w:sz w:val="24"/>
        </w:rPr>
        <w:t>遵守认证认可相关法律法规，协助认证监管部门的监督检查，对有关事项的询问和调查</w:t>
      </w:r>
      <w:r>
        <w:rPr>
          <w:rFonts w:hint="eastAsia"/>
          <w:bCs/>
          <w:sz w:val="24"/>
          <w:lang w:eastAsia="zh-CN"/>
        </w:rPr>
        <w:t>，</w:t>
      </w:r>
      <w:r>
        <w:rPr>
          <w:rFonts w:hint="eastAsia"/>
          <w:bCs/>
          <w:sz w:val="24"/>
        </w:rPr>
        <w:t>如实提供相关材料和信息；</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4</w:t>
      </w:r>
      <w:r>
        <w:rPr>
          <w:bCs/>
          <w:sz w:val="24"/>
        </w:rPr>
        <w:t>.</w:t>
      </w:r>
      <w:r>
        <w:rPr>
          <w:rFonts w:hint="eastAsia"/>
          <w:bCs/>
          <w:sz w:val="24"/>
          <w:lang w:val="en-US" w:eastAsia="zh-CN"/>
        </w:rPr>
        <w:t>1.</w:t>
      </w:r>
      <w:r>
        <w:rPr>
          <w:bCs/>
          <w:sz w:val="24"/>
        </w:rPr>
        <w:t>4</w:t>
      </w:r>
      <w:r>
        <w:rPr>
          <w:rFonts w:hint="eastAsia"/>
          <w:bCs/>
          <w:sz w:val="24"/>
        </w:rPr>
        <w:t>获得认证后如有以下情况发生，应在五个工作日内向乙方通报：</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rFonts w:hint="eastAsia"/>
          <w:bCs/>
          <w:sz w:val="24"/>
        </w:rPr>
      </w:pPr>
      <w:r>
        <w:rPr>
          <w:rFonts w:hint="eastAsia"/>
          <w:bCs/>
          <w:sz w:val="24"/>
        </w:rPr>
        <w:t>客户及相关方有重大投诉；</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bCs/>
          <w:sz w:val="24"/>
        </w:rPr>
      </w:pPr>
      <w:r>
        <w:rPr>
          <w:rFonts w:hint="eastAsia"/>
          <w:bCs/>
          <w:sz w:val="24"/>
        </w:rPr>
        <w:t>生产、销售的产品或提供的服务被市场监管部门认定不合格；</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bCs/>
          <w:sz w:val="24"/>
        </w:rPr>
      </w:pPr>
      <w:r>
        <w:rPr>
          <w:rFonts w:hint="eastAsia"/>
          <w:bCs/>
          <w:sz w:val="24"/>
        </w:rPr>
        <w:t>发生服务或产品的重大质量、环境、安全事故；</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bCs/>
          <w:color w:val="FF0000"/>
          <w:sz w:val="24"/>
        </w:rPr>
      </w:pPr>
      <w:r>
        <w:rPr>
          <w:rFonts w:hint="eastAsia"/>
          <w:bCs/>
          <w:sz w:val="24"/>
        </w:rPr>
        <w:t>相关情况发生变更，包括：法律地位、生产经营状况、组织状态或所有权变更；取得的行政许可资格、强制性认证或其他资质证书变更；法定代表人、最高管理者变更；生产经营或服务的工作场所变更；</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bCs/>
          <w:color w:val="auto"/>
          <w:sz w:val="24"/>
        </w:rPr>
      </w:pPr>
      <w:r>
        <w:rPr>
          <w:rFonts w:hint="eastAsia"/>
          <w:bCs/>
          <w:color w:val="auto"/>
          <w:sz w:val="24"/>
        </w:rPr>
        <w:t>产品召回事件及处理情况，适用的法律法规要求的变更信息；在乙方要求时，向乙方提供所有甲方收到有关投诉的记录和依据体系标准或其他规范性文件的要求所采取的纠正措施的记录；</w:t>
      </w:r>
    </w:p>
    <w:p>
      <w:pPr>
        <w:keepNext w:val="0"/>
        <w:keepLines w:val="0"/>
        <w:pageBreakBefore w:val="0"/>
        <w:numPr>
          <w:ilvl w:val="0"/>
          <w:numId w:val="2"/>
        </w:numPr>
        <w:kinsoku/>
        <w:wordWrap/>
        <w:overflowPunct/>
        <w:topLinePunct w:val="0"/>
        <w:autoSpaceDE/>
        <w:autoSpaceDN/>
        <w:bidi w:val="0"/>
        <w:adjustRightInd/>
        <w:snapToGrid/>
        <w:spacing w:beforeAutospacing="0" w:after="48" w:afterLines="15" w:afterAutospacing="0"/>
        <w:ind w:firstLine="480" w:firstLineChars="200"/>
        <w:rPr>
          <w:bCs/>
          <w:color w:val="auto"/>
          <w:sz w:val="24"/>
        </w:rPr>
      </w:pPr>
      <w:r>
        <w:rPr>
          <w:rFonts w:hint="eastAsia"/>
          <w:bCs/>
          <w:color w:val="auto"/>
          <w:sz w:val="24"/>
        </w:rPr>
        <w:t>出现影响合同约定的管理体系运行的其他重要情况。</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color w:val="auto"/>
          <w:sz w:val="24"/>
        </w:rPr>
      </w:pPr>
      <w:r>
        <w:rPr>
          <w:rFonts w:hint="eastAsia"/>
          <w:bCs/>
          <w:color w:val="auto"/>
          <w:sz w:val="24"/>
        </w:rPr>
        <w:t>4</w:t>
      </w:r>
      <w:r>
        <w:rPr>
          <w:bCs/>
          <w:color w:val="auto"/>
          <w:sz w:val="24"/>
        </w:rPr>
        <w:t>.</w:t>
      </w:r>
      <w:r>
        <w:rPr>
          <w:rFonts w:hint="eastAsia"/>
          <w:bCs/>
          <w:color w:val="auto"/>
          <w:sz w:val="24"/>
          <w:lang w:val="en-US" w:eastAsia="zh-CN"/>
        </w:rPr>
        <w:t>1.</w:t>
      </w:r>
      <w:r>
        <w:rPr>
          <w:bCs/>
          <w:color w:val="auto"/>
          <w:sz w:val="24"/>
        </w:rPr>
        <w:t>5</w:t>
      </w:r>
      <w:r>
        <w:rPr>
          <w:rFonts w:hint="eastAsia"/>
          <w:bCs/>
          <w:color w:val="auto"/>
          <w:sz w:val="24"/>
        </w:rPr>
        <w:t>获得认证后正确使用认证证书、认证标志和有关信息，不利用认证证书和相关文字、符号误导公众认为其产品或服务通过认证。</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1"/>
        <w:rPr>
          <w:rFonts w:ascii="宋体" w:hAnsi="宋体"/>
          <w:b/>
          <w:bCs/>
          <w:color w:val="auto"/>
          <w:sz w:val="24"/>
        </w:rPr>
      </w:pPr>
      <w:r>
        <w:rPr>
          <w:rFonts w:hint="eastAsia" w:ascii="宋体" w:hAnsi="宋体"/>
          <w:b/>
          <w:bCs/>
          <w:color w:val="auto"/>
          <w:sz w:val="24"/>
        </w:rPr>
        <w:t>4.2甲方义务</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4</w:t>
      </w:r>
      <w:r>
        <w:rPr>
          <w:bCs/>
          <w:sz w:val="24"/>
        </w:rPr>
        <w:t>.2.1</w:t>
      </w:r>
      <w:r>
        <w:rPr>
          <w:rFonts w:hint="eastAsia"/>
          <w:bCs/>
          <w:sz w:val="24"/>
        </w:rPr>
        <w:t>了解认证相关文件，并按要求及时提供有关信息，信息内容应真实、准确和完整；</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bCs/>
          <w:sz w:val="24"/>
        </w:rPr>
        <w:t>4.2.2</w:t>
      </w:r>
      <w:r>
        <w:rPr>
          <w:rFonts w:hint="eastAsia"/>
          <w:bCs/>
          <w:sz w:val="24"/>
        </w:rPr>
        <w:t>为到场的实习审核员、技术专家或观察员（如认可评审员）等提供审核条件；</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bCs/>
          <w:sz w:val="24"/>
        </w:rPr>
        <w:t>4.2.3</w:t>
      </w:r>
      <w:r>
        <w:rPr>
          <w:rFonts w:hint="eastAsia"/>
          <w:bCs/>
          <w:sz w:val="24"/>
        </w:rPr>
        <w:t>在证书有效期内，接受并配合乙方进行监督审核和再认证活动；</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bCs/>
          <w:sz w:val="24"/>
        </w:rPr>
        <w:t>4.2.4</w:t>
      </w:r>
      <w:r>
        <w:rPr>
          <w:rFonts w:hint="eastAsia"/>
          <w:bCs/>
          <w:sz w:val="24"/>
        </w:rPr>
        <w:t>配合协助认证机构、监管部门实施的特殊审核、见证评审和确认审核，并提供真实材料</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1"/>
        <w:rPr>
          <w:bCs/>
          <w:sz w:val="24"/>
        </w:rPr>
      </w:pPr>
      <w:r>
        <w:rPr>
          <w:rFonts w:hint="eastAsia"/>
          <w:bCs/>
          <w:sz w:val="24"/>
        </w:rPr>
        <w:t>和信息。如果拒绝将会导致认证资格的暂停或撤销；</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bCs/>
          <w:sz w:val="24"/>
        </w:rPr>
      </w:pPr>
      <w:r>
        <w:rPr>
          <w:rFonts w:hint="eastAsia"/>
          <w:bCs/>
          <w:sz w:val="24"/>
        </w:rPr>
        <w:t>注1：特殊审核是为调查投诉、对变更做出回应或对被暂停的甲方进行追踪，乙方在提前较短时间通知或不通知获证客户就对其进行审核，并且甲方不能对审核组的构成表示反对。</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bCs/>
          <w:sz w:val="24"/>
        </w:rPr>
      </w:pPr>
      <w:r>
        <w:rPr>
          <w:rFonts w:hint="eastAsia"/>
          <w:bCs/>
          <w:sz w:val="24"/>
        </w:rPr>
        <w:t>注2：确认审核是认可机构通过直接对甲方管理体系运行及受审核过程进行现场验证，评价乙方审核活动的符合性、有效性。</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rFonts w:hint="eastAsia"/>
          <w:bCs/>
          <w:sz w:val="24"/>
        </w:rPr>
        <w:t>4</w:t>
      </w:r>
      <w:r>
        <w:rPr>
          <w:bCs/>
          <w:sz w:val="24"/>
        </w:rPr>
        <w:t>.2.5</w:t>
      </w:r>
      <w:r>
        <w:rPr>
          <w:rFonts w:hint="eastAsia"/>
          <w:bCs/>
          <w:sz w:val="24"/>
        </w:rPr>
        <w:t>在使用认证资格时，不得使乙方和（或）认证制度声誉受损；</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bCs/>
          <w:sz w:val="24"/>
        </w:rPr>
        <w:t>4.2.6</w:t>
      </w:r>
      <w:r>
        <w:rPr>
          <w:rFonts w:hint="eastAsia"/>
          <w:bCs/>
          <w:sz w:val="24"/>
        </w:rPr>
        <w:t>认证证书被更新、暂停或撤销后，甲方应立即停止使用原认证证书、标志或审核报告及有关认证内容的广告和宣传。</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rFonts w:ascii="宋体" w:hAnsi="宋体"/>
          <w:bCs/>
          <w:sz w:val="24"/>
        </w:rPr>
      </w:pPr>
      <w:r>
        <w:rPr>
          <w:bCs/>
          <w:sz w:val="24"/>
        </w:rPr>
        <w:t>4.2.7</w:t>
      </w:r>
      <w:r>
        <w:rPr>
          <w:rFonts w:hint="eastAsia"/>
          <w:bCs/>
          <w:sz w:val="24"/>
        </w:rPr>
        <w:t>当甲方申请的认证范围包括多个场所时（如：子公司、分公司和临时现场），甲方应确</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1"/>
        <w:rPr>
          <w:bCs/>
          <w:sz w:val="24"/>
        </w:rPr>
      </w:pPr>
      <w:r>
        <w:rPr>
          <w:rFonts w:hint="eastAsia"/>
          <w:bCs/>
          <w:sz w:val="24"/>
        </w:rPr>
        <w:t>保认证范围内的子公司和分现场都应遵守本合同约定；</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4</w:t>
      </w:r>
      <w:r>
        <w:rPr>
          <w:bCs/>
          <w:sz w:val="24"/>
        </w:rPr>
        <w:t>.2.8</w:t>
      </w:r>
      <w:r>
        <w:rPr>
          <w:rFonts w:hint="eastAsia"/>
          <w:bCs/>
          <w:sz w:val="24"/>
        </w:rPr>
        <w:t>按合同的约定向乙方支付本合同规定的费用；</w:t>
      </w:r>
    </w:p>
    <w:p>
      <w:pPr>
        <w:keepNext w:val="0"/>
        <w:keepLines w:val="0"/>
        <w:pageBreakBefore w:val="0"/>
        <w:tabs>
          <w:tab w:val="left" w:pos="312"/>
        </w:tabs>
        <w:kinsoku/>
        <w:wordWrap/>
        <w:overflowPunct/>
        <w:topLinePunct w:val="0"/>
        <w:autoSpaceDE/>
        <w:autoSpaceDN/>
        <w:bidi w:val="0"/>
        <w:adjustRightInd/>
        <w:snapToGrid/>
        <w:spacing w:beforeAutospacing="0" w:after="48" w:afterLines="15" w:afterAutospacing="0"/>
        <w:ind w:left="0" w:leftChars="0"/>
        <w:rPr>
          <w:bCs/>
          <w:sz w:val="24"/>
        </w:rPr>
      </w:pPr>
      <w:r>
        <w:rPr>
          <w:bCs/>
          <w:sz w:val="24"/>
        </w:rPr>
        <w:t>4.2.9</w:t>
      </w:r>
      <w:r>
        <w:rPr>
          <w:rFonts w:hint="eastAsia"/>
          <w:bCs/>
          <w:sz w:val="24"/>
        </w:rPr>
        <w:t>由于甲方原因造成审核人日或费用的增加，增加部分由甲方承担。</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五、风险、责任的承担</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5.1 </w:t>
      </w:r>
      <w:r>
        <w:rPr>
          <w:rFonts w:hint="eastAsia"/>
          <w:bCs/>
          <w:sz w:val="24"/>
        </w:rPr>
        <w:t>如在审核过程中发现足以导致不推荐注册的严重不符合时，乙方应向甲方通报不推荐注册的理由，由双方协商确定后续的处理措施（如重新修改审核计划，改变审核目的、审核范围等），相关费用由甲方支出；</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48" w:afterLines="15" w:afterAutospacing="0"/>
        <w:rPr>
          <w:bCs/>
          <w:sz w:val="24"/>
        </w:rPr>
      </w:pPr>
      <w:r>
        <w:rPr>
          <w:rFonts w:hint="eastAsia" w:ascii="宋体" w:hAnsi="宋体" w:eastAsia="宋体" w:cs="Times New Roman"/>
          <w:b/>
          <w:bCs/>
          <w:kern w:val="2"/>
          <w:sz w:val="24"/>
          <w:szCs w:val="24"/>
          <w:lang w:val="en-US" w:eastAsia="zh-CN" w:bidi="ar-SA"/>
        </w:rPr>
        <w:t>5.2</w:t>
      </w:r>
      <w:r>
        <w:rPr>
          <w:rFonts w:hint="eastAsia"/>
          <w:bCs/>
          <w:sz w:val="24"/>
        </w:rPr>
        <w:t>如乙方发现甲方存在下述问题，乙方应立即终止审核。甲方仍应支付全部费用：</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bCs/>
          <w:sz w:val="24"/>
        </w:rPr>
        <w:t>5</w:t>
      </w:r>
      <w:r>
        <w:rPr>
          <w:bCs/>
          <w:sz w:val="24"/>
        </w:rPr>
        <w:t>.2.1</w:t>
      </w:r>
      <w:r>
        <w:rPr>
          <w:rFonts w:hint="eastAsia"/>
          <w:bCs/>
          <w:sz w:val="24"/>
        </w:rPr>
        <w:t>所申请领域的管理体系文件不符合现场实际</w:t>
      </w:r>
      <w:r>
        <w:rPr>
          <w:rFonts w:hint="eastAsia"/>
          <w:bCs/>
          <w:sz w:val="24"/>
          <w:lang w:eastAsia="zh-CN"/>
        </w:rPr>
        <w:t>，</w:t>
      </w:r>
      <w:r>
        <w:rPr>
          <w:rFonts w:hint="eastAsia"/>
          <w:bCs/>
          <w:sz w:val="24"/>
        </w:rPr>
        <w:t>相关体系运行尚未或者无法证明超过3个月；</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5.2.2</w:t>
      </w:r>
      <w:r>
        <w:rPr>
          <w:rFonts w:hint="eastAsia"/>
          <w:bCs/>
          <w:sz w:val="24"/>
        </w:rPr>
        <w:t>申请组织对审核活动不予配合，审核活动无法进行；</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5.2.3</w:t>
      </w:r>
      <w:r>
        <w:rPr>
          <w:rFonts w:hint="eastAsia"/>
          <w:bCs/>
          <w:sz w:val="24"/>
        </w:rPr>
        <w:t>申请组织的管理体系有重大缺陷，不符合认证标准的要求；</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5.2.4</w:t>
      </w:r>
      <w:r>
        <w:rPr>
          <w:rFonts w:hint="eastAsia"/>
          <w:bCs/>
          <w:sz w:val="24"/>
        </w:rPr>
        <w:t>发现申请组织存在重大质量/环境/职业健康安全事故或有其他严重违法违规行为；</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bCs/>
          <w:sz w:val="24"/>
        </w:rPr>
        <w:t>5.2.5</w:t>
      </w:r>
      <w:r>
        <w:rPr>
          <w:rFonts w:hint="eastAsia"/>
          <w:bCs/>
          <w:sz w:val="24"/>
        </w:rPr>
        <w:t>其他导致审核程序无法完成的情况。</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5.3 </w:t>
      </w:r>
      <w:r>
        <w:rPr>
          <w:rFonts w:hint="eastAsia"/>
          <w:bCs/>
          <w:sz w:val="24"/>
        </w:rPr>
        <w:t>由于甲方原因，导致发生本合同 “甲方责任”第4</w:t>
      </w:r>
      <w:r>
        <w:rPr>
          <w:bCs/>
          <w:sz w:val="24"/>
        </w:rPr>
        <w:t>.</w:t>
      </w:r>
      <w:r>
        <w:rPr>
          <w:rFonts w:hint="eastAsia"/>
          <w:bCs/>
          <w:sz w:val="24"/>
          <w:lang w:val="en-US" w:eastAsia="zh-CN"/>
        </w:rPr>
        <w:t>1.</w:t>
      </w:r>
      <w:r>
        <w:rPr>
          <w:bCs/>
          <w:sz w:val="24"/>
        </w:rPr>
        <w:t>4</w:t>
      </w:r>
      <w:r>
        <w:rPr>
          <w:rFonts w:hint="eastAsia"/>
          <w:bCs/>
          <w:sz w:val="24"/>
        </w:rPr>
        <w:t>条中的a、b、c条时，甲方未能在五个工作日通知乙方，对乙方造成不良后果时，乙方将追究甲方责任；</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5.4 </w:t>
      </w:r>
      <w:r>
        <w:rPr>
          <w:rFonts w:hint="eastAsia"/>
          <w:bCs/>
          <w:sz w:val="24"/>
        </w:rPr>
        <w:t>当甲方提出证书内容变更时，</w:t>
      </w:r>
      <w:r>
        <w:rPr>
          <w:rFonts w:hint="eastAsia"/>
          <w:bCs/>
          <w:sz w:val="24"/>
          <w:lang w:val="en-US" w:eastAsia="zh-CN"/>
        </w:rPr>
        <w:t>应</w:t>
      </w:r>
      <w:r>
        <w:rPr>
          <w:rFonts w:hint="eastAsia"/>
          <w:bCs/>
          <w:sz w:val="24"/>
        </w:rPr>
        <w:t>按要求提交变更申请及变更所涉及费用，经乙方审核通过后，颁发新的认证证书；</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cs="Times New Roman"/>
          <w:b/>
          <w:bCs/>
          <w:sz w:val="24"/>
        </w:rPr>
        <w:t xml:space="preserve">5.5 </w:t>
      </w:r>
      <w:r>
        <w:rPr>
          <w:rFonts w:hint="eastAsia"/>
          <w:bCs/>
          <w:sz w:val="24"/>
        </w:rPr>
        <w:t>因甲方隐瞒认证所需的客观证据，导致乙方做出失实的认证结论；或甲方通过认证后违规使用认证证书和认证标识，给乙方带来名誉或经济损失时，乙方将追究甲方责任。</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六、保密要求</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6.1 </w:t>
      </w:r>
      <w:r>
        <w:rPr>
          <w:rFonts w:hint="eastAsia"/>
          <w:bCs/>
          <w:sz w:val="24"/>
        </w:rPr>
        <w:t>甲、乙双方对本合同中涉及有关国家秘密的事项，按照《中华人民共和国保守国家秘密法》，严格保守秘密，违者承担相应的法律责任；</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6.2 </w:t>
      </w:r>
      <w:r>
        <w:rPr>
          <w:rFonts w:hint="eastAsia"/>
          <w:bCs/>
          <w:sz w:val="24"/>
        </w:rPr>
        <w:t>如涉及国家秘密、商业秘密的场所、活动、文件等，甲方在接受审核前应向乙方明示，并由双方商定审核的方式；</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6.3 </w:t>
      </w:r>
      <w:r>
        <w:rPr>
          <w:rFonts w:hint="eastAsia"/>
          <w:bCs/>
          <w:sz w:val="24"/>
        </w:rPr>
        <w:t>乙方未经甲方同意，不得将甲方经营、生产状况及技术信息以任何方式泄漏给第三方，但甲方已公开的资料或国家法律法规强制要求的情况除外；</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bCs/>
          <w:sz w:val="24"/>
        </w:rPr>
      </w:pPr>
      <w:r>
        <w:rPr>
          <w:rFonts w:hint="eastAsia" w:ascii="宋体" w:hAnsi="宋体"/>
          <w:b/>
          <w:bCs/>
          <w:sz w:val="24"/>
        </w:rPr>
        <w:t xml:space="preserve">6.4 </w:t>
      </w:r>
      <w:r>
        <w:rPr>
          <w:rFonts w:hint="eastAsia"/>
          <w:bCs/>
          <w:sz w:val="24"/>
        </w:rPr>
        <w:t>甲方如</w:t>
      </w:r>
      <w:r>
        <w:rPr>
          <w:bCs/>
          <w:sz w:val="24"/>
        </w:rPr>
        <w:t>对</w:t>
      </w:r>
      <w:r>
        <w:rPr>
          <w:rFonts w:hint="eastAsia"/>
          <w:bCs/>
          <w:sz w:val="24"/>
        </w:rPr>
        <w:t>现场审核</w:t>
      </w:r>
      <w:r>
        <w:rPr>
          <w:bCs/>
          <w:sz w:val="24"/>
        </w:rPr>
        <w:t>结论、审核人员工作作风及审核的公正性和保守甲方秘密等有异议，可向乙方</w:t>
      </w:r>
      <w:r>
        <w:rPr>
          <w:rFonts w:hint="eastAsia"/>
          <w:bCs/>
          <w:sz w:val="24"/>
        </w:rPr>
        <w:t>提出书面</w:t>
      </w:r>
      <w:r>
        <w:rPr>
          <w:bCs/>
          <w:sz w:val="24"/>
        </w:rPr>
        <w:t>申诉/投诉。</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七、违约和合同终止</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rPr>
          <w:rFonts w:ascii="宋体" w:hAnsi="宋体"/>
          <w:b/>
          <w:bCs/>
          <w:sz w:val="24"/>
        </w:rPr>
      </w:pPr>
      <w:r>
        <w:rPr>
          <w:rFonts w:hint="eastAsia" w:ascii="宋体" w:hAnsi="宋体"/>
          <w:b/>
          <w:bCs/>
          <w:sz w:val="24"/>
        </w:rPr>
        <w:t>7.1违约</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bCs/>
          <w:sz w:val="24"/>
        </w:rPr>
      </w:pPr>
      <w:r>
        <w:rPr>
          <w:bCs/>
          <w:sz w:val="24"/>
        </w:rPr>
        <w:t>合同</w:t>
      </w:r>
      <w:r>
        <w:rPr>
          <w:rFonts w:hint="eastAsia"/>
          <w:bCs/>
          <w:sz w:val="24"/>
        </w:rPr>
        <w:t>签订</w:t>
      </w:r>
      <w:r>
        <w:rPr>
          <w:bCs/>
          <w:sz w:val="24"/>
        </w:rPr>
        <w:t>后，如一方违反合同，使本合同无法履行，则应赔偿另一方因此而造成的经济损失，赔偿金额为合同额的</w:t>
      </w:r>
      <w:r>
        <w:rPr>
          <w:rFonts w:hint="eastAsia"/>
          <w:bCs/>
          <w:sz w:val="24"/>
          <w:lang w:val="en-US" w:eastAsia="zh-CN"/>
        </w:rPr>
        <w:t>20</w:t>
      </w:r>
      <w:r>
        <w:rPr>
          <w:bCs/>
          <w:sz w:val="24"/>
        </w:rPr>
        <w:t>%</w:t>
      </w:r>
      <w:r>
        <w:rPr>
          <w:rFonts w:hint="eastAsia"/>
          <w:bCs/>
          <w:sz w:val="24"/>
        </w:rPr>
        <w:t>；</w:t>
      </w:r>
    </w:p>
    <w:p>
      <w:pPr>
        <w:keepNext w:val="0"/>
        <w:keepLines w:val="0"/>
        <w:pageBreakBefore w:val="0"/>
        <w:widowControl w:val="0"/>
        <w:kinsoku/>
        <w:wordWrap/>
        <w:overflowPunct/>
        <w:topLinePunct w:val="0"/>
        <w:autoSpaceDE/>
        <w:autoSpaceDN/>
        <w:bidi w:val="0"/>
        <w:adjustRightInd/>
        <w:snapToGrid/>
        <w:spacing w:beforeAutospacing="0" w:after="48" w:afterLines="15" w:afterAutospacing="0"/>
        <w:ind w:left="0" w:leftChars="0"/>
        <w:textAlignment w:val="auto"/>
        <w:rPr>
          <w:rFonts w:ascii="宋体" w:hAnsi="宋体"/>
          <w:b/>
          <w:bCs/>
          <w:sz w:val="24"/>
        </w:rPr>
      </w:pPr>
      <w:r>
        <w:rPr>
          <w:rFonts w:hint="eastAsia" w:ascii="宋体" w:hAnsi="宋体"/>
          <w:b/>
          <w:bCs/>
          <w:sz w:val="24"/>
        </w:rPr>
        <w:t>7.2下列情况下，合同自然终止失效：</w:t>
      </w:r>
    </w:p>
    <w:p>
      <w:pPr>
        <w:keepNext w:val="0"/>
        <w:keepLines w:val="0"/>
        <w:pageBreakBefore w:val="0"/>
        <w:numPr>
          <w:ilvl w:val="0"/>
          <w:numId w:val="0"/>
        </w:numPr>
        <w:kinsoku/>
        <w:wordWrap/>
        <w:overflowPunct/>
        <w:topLinePunct w:val="0"/>
        <w:autoSpaceDE/>
        <w:autoSpaceDN/>
        <w:bidi w:val="0"/>
        <w:adjustRightInd/>
        <w:snapToGrid/>
        <w:spacing w:beforeAutospacing="0" w:after="48" w:afterLines="15" w:afterAutospacing="0"/>
        <w:ind w:firstLine="480" w:firstLineChars="200"/>
        <w:rPr>
          <w:bCs/>
          <w:sz w:val="24"/>
        </w:rPr>
      </w:pPr>
      <w:r>
        <w:rPr>
          <w:rFonts w:hint="eastAsia"/>
          <w:bCs/>
          <w:sz w:val="24"/>
          <w:lang w:val="en-US" w:eastAsia="zh-CN"/>
        </w:rPr>
        <w:t>a</w:t>
      </w:r>
      <w:r>
        <w:rPr>
          <w:rFonts w:hint="eastAsia"/>
          <w:bCs/>
          <w:sz w:val="24"/>
          <w:lang w:eastAsia="zh-CN"/>
        </w:rPr>
        <w:t>）</w:t>
      </w:r>
      <w:r>
        <w:rPr>
          <w:bCs/>
          <w:sz w:val="24"/>
        </w:rPr>
        <w:t>乙方对甲方的认证结论为不合格，经甲方整改，乙方再次审核，仍为不合格时；</w:t>
      </w:r>
      <w:r>
        <w:rPr>
          <w:rFonts w:hint="eastAsia"/>
          <w:bCs/>
          <w:sz w:val="24"/>
        </w:rPr>
        <w:t>发生该</w:t>
      </w:r>
      <w:r>
        <w:rPr>
          <w:bCs/>
          <w:sz w:val="24"/>
        </w:rPr>
        <w:t>情况，甲方仍须缴纳全部审核费用；</w:t>
      </w:r>
    </w:p>
    <w:p>
      <w:pPr>
        <w:keepNext w:val="0"/>
        <w:keepLines w:val="0"/>
        <w:pageBreakBefore w:val="0"/>
        <w:numPr>
          <w:ilvl w:val="0"/>
          <w:numId w:val="0"/>
        </w:numPr>
        <w:kinsoku/>
        <w:wordWrap/>
        <w:overflowPunct/>
        <w:topLinePunct w:val="0"/>
        <w:autoSpaceDE/>
        <w:autoSpaceDN/>
        <w:bidi w:val="0"/>
        <w:adjustRightInd/>
        <w:snapToGrid/>
        <w:spacing w:beforeAutospacing="0" w:after="48" w:afterLines="15" w:afterAutospacing="0"/>
        <w:ind w:firstLine="480" w:firstLineChars="200"/>
        <w:rPr>
          <w:bCs/>
          <w:sz w:val="24"/>
        </w:rPr>
      </w:pPr>
      <w:r>
        <w:rPr>
          <w:rFonts w:hint="eastAsia"/>
          <w:bCs/>
          <w:sz w:val="24"/>
          <w:lang w:val="en-US" w:eastAsia="zh-CN"/>
        </w:rPr>
        <w:t>b</w:t>
      </w:r>
      <w:r>
        <w:rPr>
          <w:rFonts w:hint="eastAsia"/>
          <w:bCs/>
          <w:sz w:val="24"/>
          <w:lang w:eastAsia="zh-CN"/>
        </w:rPr>
        <w:t>）</w:t>
      </w:r>
      <w:r>
        <w:rPr>
          <w:bCs/>
          <w:sz w:val="24"/>
        </w:rPr>
        <w:t>认证证书有效期满</w:t>
      </w:r>
      <w:r>
        <w:rPr>
          <w:rFonts w:hint="eastAsia"/>
          <w:bCs/>
          <w:sz w:val="24"/>
        </w:rPr>
        <w:t>后</w:t>
      </w:r>
      <w:r>
        <w:rPr>
          <w:bCs/>
          <w:sz w:val="24"/>
        </w:rPr>
        <w:t>，双方未续约。</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八、争议处理</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0" w:firstLineChars="200"/>
        <w:rPr>
          <w:rFonts w:ascii="宋体" w:hAnsi="宋体"/>
          <w:bCs/>
          <w:sz w:val="24"/>
        </w:rPr>
      </w:pPr>
      <w:r>
        <w:rPr>
          <w:rFonts w:hint="eastAsia" w:ascii="宋体" w:hAnsi="宋体"/>
          <w:bCs/>
          <w:sz w:val="24"/>
        </w:rPr>
        <w:t>本合同在履行过程中如发生争议，双方首先协商解决。如协商不成，按《中华人民共和国民法典（合同编）》有关规定办理。因本合同所发生的重</w:t>
      </w:r>
      <w:bookmarkStart w:id="0" w:name="_GoBack"/>
      <w:bookmarkEnd w:id="0"/>
      <w:r>
        <w:rPr>
          <w:rFonts w:hint="eastAsia" w:ascii="宋体" w:hAnsi="宋体"/>
          <w:bCs/>
          <w:sz w:val="24"/>
        </w:rPr>
        <w:t>大争议，申请按司法程序解决。</w:t>
      </w:r>
    </w:p>
    <w:p>
      <w:pPr>
        <w:keepNext w:val="0"/>
        <w:keepLines w:val="0"/>
        <w:pageBreakBefore w:val="0"/>
        <w:widowControl w:val="0"/>
        <w:kinsoku/>
        <w:wordWrap/>
        <w:overflowPunct/>
        <w:topLinePunct w:val="0"/>
        <w:autoSpaceDE/>
        <w:autoSpaceDN/>
        <w:bidi w:val="0"/>
        <w:adjustRightInd/>
        <w:snapToGrid/>
        <w:spacing w:before="157" w:beforeLines="50" w:beforeAutospacing="0" w:after="48" w:afterLines="15" w:afterAutospacing="0"/>
        <w:ind w:left="0" w:leftChars="0"/>
        <w:textAlignment w:val="auto"/>
        <w:rPr>
          <w:rFonts w:hint="eastAsia" w:ascii="宋体" w:hAnsi="宋体"/>
          <w:b/>
          <w:bCs/>
          <w:sz w:val="24"/>
          <w:lang w:val="en-US" w:eastAsia="zh-CN"/>
        </w:rPr>
      </w:pPr>
      <w:r>
        <w:rPr>
          <w:rFonts w:hint="eastAsia" w:ascii="宋体" w:hAnsi="宋体"/>
          <w:b/>
          <w:bCs/>
          <w:sz w:val="24"/>
          <w:lang w:val="en-US" w:eastAsia="zh-CN"/>
        </w:rPr>
        <w:t>九、其他事项</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2" w:firstLineChars="200"/>
        <w:rPr>
          <w:bCs/>
          <w:sz w:val="24"/>
        </w:rPr>
      </w:pPr>
      <w:r>
        <w:rPr>
          <w:rFonts w:hint="eastAsia"/>
          <w:b/>
          <w:sz w:val="24"/>
        </w:rPr>
        <w:t>9.1</w:t>
      </w:r>
      <w:r>
        <w:rPr>
          <w:rFonts w:hint="eastAsia"/>
          <w:bCs/>
          <w:sz w:val="24"/>
        </w:rPr>
        <w:t>本合同自签定之日起生效，</w:t>
      </w:r>
      <w:r>
        <w:rPr>
          <w:rFonts w:hint="eastAsia"/>
          <w:bCs/>
          <w:sz w:val="24"/>
          <w:lang w:val="en-US" w:eastAsia="zh-CN"/>
        </w:rPr>
        <w:t>有效期至证书有效期满。</w:t>
      </w:r>
      <w:r>
        <w:rPr>
          <w:rFonts w:hint="eastAsia"/>
          <w:bCs/>
          <w:sz w:val="24"/>
        </w:rPr>
        <w:t>一式两份，甲、乙双方各持一份；</w:t>
      </w:r>
    </w:p>
    <w:p>
      <w:pPr>
        <w:keepNext w:val="0"/>
        <w:keepLines w:val="0"/>
        <w:pageBreakBefore w:val="0"/>
        <w:kinsoku/>
        <w:wordWrap/>
        <w:overflowPunct/>
        <w:topLinePunct w:val="0"/>
        <w:autoSpaceDE/>
        <w:autoSpaceDN/>
        <w:bidi w:val="0"/>
        <w:adjustRightInd/>
        <w:snapToGrid/>
        <w:spacing w:beforeAutospacing="0" w:after="48" w:afterLines="15" w:afterAutospacing="0"/>
        <w:ind w:left="0" w:leftChars="0" w:firstLine="482" w:firstLineChars="200"/>
        <w:rPr>
          <w:bCs/>
          <w:sz w:val="24"/>
        </w:rPr>
      </w:pPr>
      <w:r>
        <w:rPr>
          <w:rFonts w:hint="eastAsia"/>
          <w:b/>
          <w:sz w:val="24"/>
        </w:rPr>
        <w:t>9.2</w:t>
      </w:r>
      <w:r>
        <w:rPr>
          <w:rFonts w:hint="eastAsia"/>
          <w:bCs/>
          <w:sz w:val="24"/>
        </w:rPr>
        <w:t>认证过程等有关程序和规定详见乙方的《公开文件》。</w:t>
      </w:r>
    </w:p>
    <w:p>
      <w:pPr>
        <w:spacing w:after="62" w:afterLines="20"/>
        <w:ind w:firstLine="480" w:firstLineChars="200"/>
        <w:rPr>
          <w:bCs/>
          <w:sz w:val="24"/>
        </w:rPr>
      </w:pPr>
    </w:p>
    <w:tbl>
      <w:tblPr>
        <w:tblStyle w:val="7"/>
        <w:tblpPr w:leftFromText="180" w:rightFromText="180" w:vertAnchor="text" w:horzAnchor="page" w:tblpX="1214" w:tblpY="6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97"/>
        <w:gridCol w:w="3718"/>
        <w:gridCol w:w="1188"/>
        <w:gridCol w:w="35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99" w:hRule="atLeast"/>
        </w:trPr>
        <w:tc>
          <w:tcPr>
            <w:tcW w:w="119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甲方名称</w:t>
            </w:r>
          </w:p>
          <w:p>
            <w:pPr>
              <w:jc w:val="both"/>
              <w:rPr>
                <w:rFonts w:hint="eastAsia" w:ascii="宋体" w:hAnsi="宋体" w:eastAsia="宋体" w:cs="宋体"/>
                <w:bCs/>
                <w:sz w:val="24"/>
                <w:szCs w:val="24"/>
              </w:rPr>
            </w:pPr>
            <w:r>
              <w:rPr>
                <w:rFonts w:hint="eastAsia" w:ascii="宋体" w:hAnsi="宋体" w:eastAsia="宋体" w:cs="宋体"/>
                <w:bCs/>
                <w:sz w:val="24"/>
                <w:szCs w:val="24"/>
              </w:rPr>
              <w:t>（盖章）</w:t>
            </w:r>
          </w:p>
        </w:tc>
        <w:tc>
          <w:tcPr>
            <w:tcW w:w="3718" w:type="dxa"/>
            <w:tcBorders>
              <w:tl2br w:val="nil"/>
              <w:tr2bl w:val="nil"/>
            </w:tcBorders>
            <w:vAlign w:val="center"/>
          </w:tcPr>
          <w:p>
            <w:pPr>
              <w:jc w:val="both"/>
              <w:rPr>
                <w:rFonts w:hint="eastAsia" w:ascii="宋体" w:hAnsi="宋体" w:eastAsia="宋体" w:cs="宋体"/>
                <w:bCs/>
                <w:sz w:val="24"/>
                <w:szCs w:val="24"/>
              </w:rPr>
            </w:pPr>
          </w:p>
          <w:p>
            <w:pPr>
              <w:jc w:val="both"/>
              <w:rPr>
                <w:rFonts w:hint="eastAsia" w:ascii="宋体" w:hAnsi="宋体" w:eastAsia="宋体" w:cs="宋体"/>
                <w:bCs/>
                <w:sz w:val="24"/>
                <w:szCs w:val="24"/>
              </w:rPr>
            </w:pPr>
          </w:p>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sz w:val="24"/>
                <w:szCs w:val="24"/>
                <w:lang w:val="en-US" w:eastAsia="zh-CN"/>
              </w:rPr>
            </w:pPr>
            <w:r>
              <w:rPr>
                <w:rFonts w:hint="eastAsia" w:ascii="宋体" w:hAnsi="宋体" w:eastAsia="宋体" w:cs="宋体"/>
                <w:bCs/>
                <w:sz w:val="24"/>
                <w:szCs w:val="24"/>
              </w:rPr>
              <w:t>乙方</w:t>
            </w:r>
            <w:r>
              <w:rPr>
                <w:rFonts w:hint="eastAsia" w:ascii="宋体" w:hAnsi="宋体" w:eastAsia="宋体" w:cs="宋体"/>
                <w:bCs/>
                <w:sz w:val="24"/>
                <w:szCs w:val="24"/>
                <w:lang w:val="en-US" w:eastAsia="zh-CN"/>
              </w:rPr>
              <w:t>名称</w:t>
            </w:r>
          </w:p>
          <w:p>
            <w:pPr>
              <w:jc w:val="both"/>
              <w:rPr>
                <w:rFonts w:hint="eastAsia" w:ascii="宋体" w:hAnsi="宋体" w:eastAsia="宋体" w:cs="宋体"/>
                <w:bCs/>
                <w:sz w:val="24"/>
                <w:szCs w:val="24"/>
              </w:rPr>
            </w:pPr>
            <w:r>
              <w:rPr>
                <w:rFonts w:hint="eastAsia" w:ascii="宋体" w:hAnsi="宋体" w:eastAsia="宋体" w:cs="宋体"/>
                <w:bCs/>
                <w:sz w:val="24"/>
                <w:szCs w:val="24"/>
              </w:rPr>
              <w:t>（盖章）</w:t>
            </w:r>
          </w:p>
        </w:tc>
        <w:tc>
          <w:tcPr>
            <w:tcW w:w="352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誉邦检测认证有限公司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5" w:hRule="atLeast"/>
        </w:trPr>
        <w:tc>
          <w:tcPr>
            <w:tcW w:w="1197"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注册地址</w:t>
            </w:r>
          </w:p>
        </w:tc>
        <w:tc>
          <w:tcPr>
            <w:tcW w:w="371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户名</w:t>
            </w:r>
          </w:p>
        </w:tc>
        <w:tc>
          <w:tcPr>
            <w:tcW w:w="352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誉邦检测认证有限公司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97"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联系人</w:t>
            </w:r>
          </w:p>
        </w:tc>
        <w:tc>
          <w:tcPr>
            <w:tcW w:w="371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账号</w:t>
            </w:r>
          </w:p>
        </w:tc>
        <w:tc>
          <w:tcPr>
            <w:tcW w:w="3527"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eastAsia="宋体" w:cs="宋体"/>
                <w:bCs/>
                <w:iCs/>
                <w:sz w:val="24"/>
                <w:szCs w:val="24"/>
              </w:rPr>
              <w:t>810000416910000001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联系电话</w:t>
            </w:r>
          </w:p>
        </w:tc>
        <w:tc>
          <w:tcPr>
            <w:tcW w:w="371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开户行</w:t>
            </w:r>
          </w:p>
        </w:tc>
        <w:tc>
          <w:tcPr>
            <w:tcW w:w="352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iCs/>
                <w:sz w:val="24"/>
                <w:szCs w:val="24"/>
              </w:rPr>
              <w:t>长沙银行开福支行营业部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1197" w:type="dxa"/>
            <w:tcBorders>
              <w:tl2br w:val="nil"/>
              <w:tr2bl w:val="nil"/>
            </w:tcBorders>
            <w:vAlign w:val="center"/>
          </w:tcPr>
          <w:p>
            <w:pPr>
              <w:jc w:val="both"/>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税号</w:t>
            </w:r>
          </w:p>
        </w:tc>
        <w:tc>
          <w:tcPr>
            <w:tcW w:w="371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sz w:val="24"/>
                <w:szCs w:val="24"/>
                <w:lang w:eastAsia="zh-CN"/>
              </w:rPr>
            </w:pPr>
            <w:r>
              <w:rPr>
                <w:rFonts w:hint="eastAsia" w:ascii="宋体" w:hAnsi="宋体" w:cs="宋体"/>
                <w:bCs/>
                <w:sz w:val="24"/>
                <w:szCs w:val="24"/>
                <w:lang w:val="en-US" w:eastAsia="zh-CN"/>
              </w:rPr>
              <w:t>税号</w:t>
            </w:r>
          </w:p>
        </w:tc>
        <w:tc>
          <w:tcPr>
            <w:tcW w:w="352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iCs/>
                <w:sz w:val="24"/>
                <w:szCs w:val="24"/>
              </w:rPr>
              <w:t>91430112MA4PBCRX1E</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甲方代表</w:t>
            </w:r>
          </w:p>
          <w:p>
            <w:pPr>
              <w:jc w:val="both"/>
              <w:rPr>
                <w:rFonts w:hint="eastAsia" w:ascii="宋体" w:hAnsi="宋体" w:eastAsia="宋体" w:cs="宋体"/>
                <w:bCs/>
                <w:sz w:val="24"/>
                <w:szCs w:val="24"/>
              </w:rPr>
            </w:pPr>
            <w:r>
              <w:rPr>
                <w:rFonts w:hint="eastAsia" w:ascii="宋体" w:hAnsi="宋体" w:eastAsia="宋体" w:cs="宋体"/>
                <w:bCs/>
                <w:sz w:val="24"/>
                <w:szCs w:val="24"/>
              </w:rPr>
              <w:t>签字</w:t>
            </w:r>
          </w:p>
        </w:tc>
        <w:tc>
          <w:tcPr>
            <w:tcW w:w="3718" w:type="dxa"/>
            <w:tcBorders>
              <w:tl2br w:val="nil"/>
              <w:tr2bl w:val="nil"/>
            </w:tcBorders>
            <w:vAlign w:val="center"/>
          </w:tcPr>
          <w:p>
            <w:pPr>
              <w:jc w:val="both"/>
              <w:rPr>
                <w:rFonts w:hint="eastAsia" w:ascii="宋体" w:hAnsi="宋体" w:eastAsia="宋体" w:cs="宋体"/>
                <w:bCs/>
                <w:sz w:val="24"/>
                <w:szCs w:val="24"/>
              </w:rPr>
            </w:pPr>
          </w:p>
          <w:p>
            <w:pPr>
              <w:jc w:val="both"/>
              <w:rPr>
                <w:rFonts w:hint="eastAsia" w:ascii="宋体" w:hAnsi="宋体" w:eastAsia="宋体" w:cs="宋体"/>
                <w:bCs/>
                <w:sz w:val="24"/>
                <w:szCs w:val="24"/>
              </w:rPr>
            </w:pPr>
          </w:p>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c>
          <w:tcPr>
            <w:tcW w:w="118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乙方签字</w:t>
            </w:r>
          </w:p>
        </w:tc>
        <w:tc>
          <w:tcPr>
            <w:tcW w:w="3527" w:type="dxa"/>
            <w:tcBorders>
              <w:tl2br w:val="nil"/>
              <w:tr2bl w:val="nil"/>
            </w:tcBorders>
            <w:vAlign w:val="center"/>
          </w:tcPr>
          <w:p>
            <w:pPr>
              <w:jc w:val="both"/>
              <w:rPr>
                <w:rFonts w:hint="eastAsia" w:ascii="宋体" w:hAnsi="宋体" w:eastAsia="宋体" w:cs="宋体"/>
                <w:bCs/>
                <w:sz w:val="24"/>
                <w:szCs w:val="24"/>
              </w:rPr>
            </w:pPr>
          </w:p>
          <w:p>
            <w:pPr>
              <w:jc w:val="both"/>
              <w:rPr>
                <w:rFonts w:hint="eastAsia" w:ascii="宋体" w:hAnsi="宋体" w:eastAsia="宋体" w:cs="宋体"/>
                <w:bCs/>
                <w:sz w:val="24"/>
                <w:szCs w:val="24"/>
              </w:rPr>
            </w:pPr>
            <w:r>
              <w:rPr>
                <w:rFonts w:hint="eastAsia" w:ascii="宋体" w:hAnsi="宋体" w:eastAsia="宋体" w:cs="宋体"/>
                <w:bCs/>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119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日   期</w:t>
            </w:r>
          </w:p>
        </w:tc>
        <w:tc>
          <w:tcPr>
            <w:tcW w:w="371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c>
          <w:tcPr>
            <w:tcW w:w="1188"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日   期</w:t>
            </w:r>
          </w:p>
        </w:tc>
        <w:tc>
          <w:tcPr>
            <w:tcW w:w="3527" w:type="dxa"/>
            <w:tcBorders>
              <w:tl2br w:val="nil"/>
              <w:tr2bl w:val="nil"/>
            </w:tcBorders>
            <w:vAlign w:val="center"/>
          </w:tcPr>
          <w:p>
            <w:pPr>
              <w:jc w:val="both"/>
              <w:rPr>
                <w:rFonts w:hint="eastAsia" w:ascii="宋体" w:hAnsi="宋体" w:eastAsia="宋体" w:cs="宋体"/>
                <w:bCs/>
                <w:sz w:val="24"/>
                <w:szCs w:val="24"/>
              </w:rPr>
            </w:pPr>
            <w:r>
              <w:rPr>
                <w:rFonts w:hint="eastAsia" w:ascii="宋体" w:hAnsi="宋体" w:eastAsia="宋体" w:cs="宋体"/>
                <w:bCs/>
                <w:sz w:val="24"/>
                <w:szCs w:val="24"/>
              </w:rPr>
              <w:t xml:space="preserve">         年    月    日</w:t>
            </w:r>
          </w:p>
        </w:tc>
      </w:tr>
    </w:tbl>
    <w:p>
      <w:pPr>
        <w:spacing w:after="62" w:afterLines="20"/>
        <w:ind w:firstLine="482" w:firstLineChars="200"/>
        <w:rPr>
          <w:rFonts w:ascii="宋体" w:hAnsi="宋体"/>
          <w:b/>
          <w:sz w:val="24"/>
          <w:u w:val="single"/>
        </w:rPr>
      </w:pPr>
    </w:p>
    <w:sectPr>
      <w:headerReference r:id="rId5" w:type="default"/>
      <w:footerReference r:id="rId6" w:type="default"/>
      <w:pgSz w:w="11906" w:h="16838"/>
      <w:pgMar w:top="1134" w:right="1134" w:bottom="850" w:left="1134" w:header="737" w:footer="62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sz w:val="21"/>
        <w:szCs w:val="21"/>
        <w:lang w:val="en-US" w:eastAsia="zh-CN"/>
      </w:rPr>
    </w:pPr>
    <w:r>
      <w:rPr>
        <w:sz w:val="21"/>
        <w:szCs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r>
      <w:rPr>
        <w:rFonts w:hint="eastAsia"/>
        <w:sz w:val="21"/>
        <w:szCs w:val="21"/>
        <w:lang w:val="en-US" w:eastAsia="zh-CN"/>
      </w:rPr>
      <w:t>启用时间：2023-11-10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222" w:tblpY="601"/>
      <w:tblOverlap w:val="never"/>
      <w:tblW w:w="9651" w:type="dxa"/>
      <w:tblInd w:w="0" w:type="dxa"/>
      <w:tblBorders>
        <w:top w:val="none" w:color="auto" w:sz="0" w:space="0"/>
        <w:left w:val="none" w:color="auto" w:sz="0" w:space="0"/>
        <w:bottom w:val="thickThinSmallGap" w:color="auto"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51"/>
    </w:tblGrid>
    <w:tr>
      <w:tblPrEx>
        <w:tblBorders>
          <w:top w:val="none" w:color="auto" w:sz="0" w:space="0"/>
          <w:left w:val="none" w:color="auto" w:sz="0" w:space="0"/>
          <w:bottom w:val="thickThinSmallGap" w:color="auto" w:sz="18" w:space="0"/>
          <w:right w:val="none" w:color="auto" w:sz="0" w:space="0"/>
          <w:insideH w:val="none" w:color="auto" w:sz="0" w:space="0"/>
          <w:insideV w:val="none" w:color="auto" w:sz="0" w:space="0"/>
        </w:tblBorders>
      </w:tblPrEx>
      <w:trPr>
        <w:trHeight w:val="90" w:hRule="atLeast"/>
      </w:trPr>
      <w:tc>
        <w:tcPr>
          <w:tcW w:w="9651" w:type="dxa"/>
          <w:vAlign w:val="center"/>
        </w:tcPr>
        <w:p>
          <w:pPr>
            <w:autoSpaceDE w:val="0"/>
            <w:autoSpaceDN w:val="0"/>
            <w:spacing w:line="260" w:lineRule="exact"/>
            <w:ind w:firstLine="2781" w:firstLineChars="1545"/>
            <w:rPr>
              <w:rFonts w:eastAsia="宋体"/>
            </w:rPr>
          </w:pPr>
          <w:r>
            <w:rPr>
              <w:sz w:val="18"/>
            </w:rPr>
            <mc:AlternateContent>
              <mc:Choice Requires="wps">
                <w:drawing>
                  <wp:anchor distT="0" distB="0" distL="114300" distR="114300" simplePos="0" relativeHeight="251662336" behindDoc="0" locked="0" layoutInCell="1" allowOverlap="1">
                    <wp:simplePos x="0" y="0"/>
                    <wp:positionH relativeFrom="column">
                      <wp:posOffset>4826000</wp:posOffset>
                    </wp:positionH>
                    <wp:positionV relativeFrom="paragraph">
                      <wp:posOffset>70485</wp:posOffset>
                    </wp:positionV>
                    <wp:extent cx="1220470" cy="265430"/>
                    <wp:effectExtent l="0" t="0" r="0" b="0"/>
                    <wp:wrapNone/>
                    <wp:docPr id="10" name="矩形 10"/>
                    <wp:cNvGraphicFramePr/>
                    <a:graphic xmlns:a="http://schemas.openxmlformats.org/drawingml/2006/main">
                      <a:graphicData uri="http://schemas.microsoft.com/office/word/2010/wordprocessingShape">
                        <wps:wsp>
                          <wps:cNvSpPr/>
                          <wps:spPr>
                            <a:xfrm>
                              <a:off x="0" y="0"/>
                              <a:ext cx="1220470" cy="2654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ind w:left="-105" w:leftChars="-50" w:right="-105" w:rightChars="-50"/>
                                  <w:jc w:val="right"/>
                                  <w:textAlignment w:val="auto"/>
                                  <w:rPr>
                                    <w:rFonts w:ascii="Times New Roman" w:hAnsi="Times New Roman" w:eastAsia="宋体" w:cs="Times New Roman"/>
                                    <w:color w:val="000000" w:themeColor="text1"/>
                                    <w:sz w:val="18"/>
                                    <w:szCs w:val="18"/>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YBTC-</w:t>
                                </w:r>
                                <w:r>
                                  <w:rPr>
                                    <w:rFonts w:hint="eastAsia"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001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0pt;margin-top:5.55pt;height:20.9pt;width:96.1pt;z-index:251662336;v-text-anchor:middle;mso-width-relative:page;mso-height-relative:page;" filled="f" stroked="f" coordsize="21600,21600" o:gfxdata="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aPTR72AAAAAkBAAAP&#10;AAAAAAAAAAEAIAAAACIAAABkcnMvZG93bnJldi54bWxQSwECFAAUAAAACACHTuJAwLYrLlECAACY&#10;BAAADgAAAAAAAAABACAAAAAnAQAAZHJzL2Uyb0RvYy54bWxQSwUGAAAAAAYABgBZAQAA6gUAAAAA&#10;">
                    <v:fill on="f"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105" w:leftChars="-50" w:right="-105" w:rightChars="-50"/>
                            <w:jc w:val="right"/>
                            <w:textAlignment w:val="auto"/>
                            <w:rPr>
                              <w:rFonts w:ascii="Times New Roman" w:hAnsi="Times New Roman" w:eastAsia="宋体" w:cs="Times New Roman"/>
                              <w:color w:val="000000" w:themeColor="text1"/>
                              <w:sz w:val="18"/>
                              <w:szCs w:val="18"/>
                              <w14:textFill>
                                <w14:solidFill>
                                  <w14:schemeClr w14:val="tx1"/>
                                </w14:solidFill>
                              </w14:textFill>
                            </w:rPr>
                          </w:pPr>
                          <w:r>
                            <w:rPr>
                              <w:rFonts w:hint="eastAsia" w:cs="Times New Roman"/>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rPr>
                            <w:t>YBTC-</w:t>
                          </w:r>
                          <w:r>
                            <w:rPr>
                              <w:rFonts w:hint="eastAsia"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001</w:t>
                          </w:r>
                        </w:p>
                      </w:txbxContent>
                    </v:textbox>
                  </v:rect>
                </w:pict>
              </mc:Fallback>
            </mc:AlternateConten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eastAsia="宋体"/>
              <w:lang w:eastAsia="zh-CN"/>
            </w:rPr>
          </w:pPr>
        </w:p>
      </w:tc>
    </w:tr>
  </w:tbl>
  <w:p>
    <w:pPr>
      <w:pStyle w:val="6"/>
      <w:pBdr>
        <w:bottom w:val="none" w:color="auto" w:sz="0" w:space="0"/>
      </w:pBdr>
      <w:jc w:val="left"/>
      <w:rPr>
        <w:rFonts w:hint="eastAsia" w:ascii="隶书" w:eastAsia="隶书"/>
        <w:sz w:val="21"/>
        <w:szCs w:val="21"/>
        <w:lang w:val="en-US" w:eastAsia="zh-CN"/>
      </w:rPr>
    </w:pPr>
    <w:r>
      <w:rPr>
        <w:rFonts w:hint="eastAsia" w:eastAsia="宋体"/>
        <w:lang w:eastAsia="zh-CN"/>
      </w:rPr>
      <w:drawing>
        <wp:anchor distT="0" distB="0" distL="114300" distR="114300" simplePos="0" relativeHeight="251659264" behindDoc="1" locked="0" layoutInCell="1" allowOverlap="1">
          <wp:simplePos x="0" y="0"/>
          <wp:positionH relativeFrom="column">
            <wp:posOffset>12700</wp:posOffset>
          </wp:positionH>
          <wp:positionV relativeFrom="paragraph">
            <wp:posOffset>-265430</wp:posOffset>
          </wp:positionV>
          <wp:extent cx="1781810" cy="541655"/>
          <wp:effectExtent l="0" t="0" r="8890" b="0"/>
          <wp:wrapNone/>
          <wp:docPr id="4" name="图片 4"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Logo"/>
                  <pic:cNvPicPr>
                    <a:picLocks noChangeAspect="1"/>
                  </pic:cNvPicPr>
                </pic:nvPicPr>
                <pic:blipFill>
                  <a:blip r:embed="rId1"/>
                  <a:stretch>
                    <a:fillRect/>
                  </a:stretch>
                </pic:blipFill>
                <pic:spPr>
                  <a:xfrm>
                    <a:off x="0" y="0"/>
                    <a:ext cx="1781810" cy="541655"/>
                  </a:xfrm>
                  <a:prstGeom prst="rect">
                    <a:avLst/>
                  </a:prstGeom>
                </pic:spPr>
              </pic:pic>
            </a:graphicData>
          </a:graphic>
        </wp:anchor>
      </w:drawing>
    </w:r>
    <w:r>
      <w:rPr>
        <w:rFonts w:hint="eastAsia" w:ascii="隶书" w:eastAsia="隶书"/>
        <w:sz w:val="21"/>
        <w:szCs w:val="21"/>
      </w:rPr>
      <w:t xml:space="preserve">             </w:t>
    </w:r>
    <w:r>
      <w:rPr>
        <w:rFonts w:hint="eastAsia" w:ascii="隶书" w:eastAsia="隶书"/>
        <w:sz w:val="21"/>
        <w:szCs w:val="21"/>
        <w:lang w:val="en-US" w:eastAsia="zh-CN"/>
      </w:rPr>
      <w:t xml:space="preserve"> </w:t>
    </w:r>
    <w:r>
      <w:rPr>
        <w:rFonts w:hint="eastAsia" w:ascii="隶书" w:eastAsia="隶书"/>
        <w:sz w:val="21"/>
        <w:szCs w:val="21"/>
      </w:rPr>
      <w:t xml:space="preserve">              </w:t>
    </w:r>
    <w:r>
      <w:rPr>
        <w:rFonts w:ascii="隶书" w:eastAsia="隶书"/>
        <w:sz w:val="21"/>
        <w:szCs w:val="21"/>
      </w:rPr>
      <w:t xml:space="preserve">                         </w:t>
    </w:r>
    <w:r>
      <w:rPr>
        <w:rFonts w:hint="eastAsia" w:ascii="隶书" w:eastAsia="隶书"/>
        <w:sz w:val="21"/>
        <w:szCs w:val="21"/>
        <w:lang w:val="en-US" w:eastAsia="zh-CN"/>
      </w:rPr>
      <w:t xml:space="preserve">     </w:t>
    </w:r>
  </w:p>
  <w:p>
    <w:pPr>
      <w:pStyle w:val="6"/>
      <w:pBdr>
        <w:bottom w:val="none" w:color="auto" w:sz="0" w:space="0"/>
      </w:pBdr>
      <w:jc w:val="left"/>
      <w:rPr>
        <w:rFonts w:hint="default" w:ascii="隶书" w:eastAsia="隶书"/>
        <w:sz w:val="21"/>
        <w:szCs w:val="21"/>
        <w:lang w:val="en-US" w:eastAsia="zh-CN"/>
      </w:rPr>
    </w:pPr>
    <w:r>
      <w:rPr>
        <w:rFonts w:hint="eastAsia" w:ascii="隶书" w:eastAsia="隶书"/>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96E13A"/>
    <w:multiLevelType w:val="singleLevel"/>
    <w:tmpl w:val="5296E13A"/>
    <w:lvl w:ilvl="0" w:tentative="0">
      <w:start w:val="2"/>
      <w:numFmt w:val="chineseCounting"/>
      <w:suff w:val="nothing"/>
      <w:lvlText w:val="%1、"/>
      <w:lvlJc w:val="left"/>
      <w:rPr>
        <w:rFonts w:hint="eastAsia"/>
      </w:rPr>
    </w:lvl>
  </w:abstractNum>
  <w:abstractNum w:abstractNumId="1">
    <w:nsid w:val="53E3D0D5"/>
    <w:multiLevelType w:val="singleLevel"/>
    <w:tmpl w:val="53E3D0D5"/>
    <w:lvl w:ilvl="0" w:tentative="0">
      <w:start w:val="1"/>
      <w:numFmt w:val="lowerLetter"/>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hN2VjMGVkN2U2MmUxNWI5ZDliZTQ3ZmVjMjRjMjEifQ=="/>
  </w:docVars>
  <w:rsids>
    <w:rsidRoot w:val="00172A27"/>
    <w:rsid w:val="00013E57"/>
    <w:rsid w:val="000156E3"/>
    <w:rsid w:val="00026690"/>
    <w:rsid w:val="00031A43"/>
    <w:rsid w:val="00043C78"/>
    <w:rsid w:val="00045387"/>
    <w:rsid w:val="00055E9B"/>
    <w:rsid w:val="00065FDF"/>
    <w:rsid w:val="00074A4A"/>
    <w:rsid w:val="000841AA"/>
    <w:rsid w:val="00093A1C"/>
    <w:rsid w:val="00094C2F"/>
    <w:rsid w:val="000B626B"/>
    <w:rsid w:val="000E2D27"/>
    <w:rsid w:val="000E59AC"/>
    <w:rsid w:val="000E6FCF"/>
    <w:rsid w:val="000F1CD1"/>
    <w:rsid w:val="000F4BE5"/>
    <w:rsid w:val="00104641"/>
    <w:rsid w:val="0010691B"/>
    <w:rsid w:val="001075E9"/>
    <w:rsid w:val="00113F6B"/>
    <w:rsid w:val="0011443E"/>
    <w:rsid w:val="0012249C"/>
    <w:rsid w:val="00126F04"/>
    <w:rsid w:val="00132D56"/>
    <w:rsid w:val="00134978"/>
    <w:rsid w:val="00141167"/>
    <w:rsid w:val="00142831"/>
    <w:rsid w:val="001445FB"/>
    <w:rsid w:val="001474BB"/>
    <w:rsid w:val="00172319"/>
    <w:rsid w:val="00172A27"/>
    <w:rsid w:val="001757E9"/>
    <w:rsid w:val="00185FEA"/>
    <w:rsid w:val="00187AAE"/>
    <w:rsid w:val="00193B31"/>
    <w:rsid w:val="0019691D"/>
    <w:rsid w:val="00197B52"/>
    <w:rsid w:val="001A1D8C"/>
    <w:rsid w:val="001B39BA"/>
    <w:rsid w:val="001B3FEB"/>
    <w:rsid w:val="001B68DF"/>
    <w:rsid w:val="001C2895"/>
    <w:rsid w:val="001C3051"/>
    <w:rsid w:val="001D6E31"/>
    <w:rsid w:val="001F1875"/>
    <w:rsid w:val="001F71A5"/>
    <w:rsid w:val="00200763"/>
    <w:rsid w:val="00214A3F"/>
    <w:rsid w:val="00230373"/>
    <w:rsid w:val="0023062F"/>
    <w:rsid w:val="00233866"/>
    <w:rsid w:val="0024174D"/>
    <w:rsid w:val="002524CD"/>
    <w:rsid w:val="002574A3"/>
    <w:rsid w:val="002600F3"/>
    <w:rsid w:val="00266E05"/>
    <w:rsid w:val="00280266"/>
    <w:rsid w:val="00283094"/>
    <w:rsid w:val="00292CDF"/>
    <w:rsid w:val="00297684"/>
    <w:rsid w:val="002A0699"/>
    <w:rsid w:val="002C231D"/>
    <w:rsid w:val="002C2786"/>
    <w:rsid w:val="002D290E"/>
    <w:rsid w:val="002F07CF"/>
    <w:rsid w:val="002F328A"/>
    <w:rsid w:val="002F4EC1"/>
    <w:rsid w:val="002F7706"/>
    <w:rsid w:val="00305A4B"/>
    <w:rsid w:val="003118E6"/>
    <w:rsid w:val="00315409"/>
    <w:rsid w:val="0032631E"/>
    <w:rsid w:val="00334EA0"/>
    <w:rsid w:val="00341343"/>
    <w:rsid w:val="003509B8"/>
    <w:rsid w:val="00350F81"/>
    <w:rsid w:val="00353AD4"/>
    <w:rsid w:val="00354D44"/>
    <w:rsid w:val="00355CA4"/>
    <w:rsid w:val="0036211C"/>
    <w:rsid w:val="00367406"/>
    <w:rsid w:val="00377297"/>
    <w:rsid w:val="00381099"/>
    <w:rsid w:val="003826B0"/>
    <w:rsid w:val="00385485"/>
    <w:rsid w:val="00391631"/>
    <w:rsid w:val="00391D5B"/>
    <w:rsid w:val="003A13F1"/>
    <w:rsid w:val="003A5199"/>
    <w:rsid w:val="003A6178"/>
    <w:rsid w:val="003B046E"/>
    <w:rsid w:val="003C05F9"/>
    <w:rsid w:val="003C6788"/>
    <w:rsid w:val="003C6DA4"/>
    <w:rsid w:val="003D2608"/>
    <w:rsid w:val="003D7CFE"/>
    <w:rsid w:val="003F0014"/>
    <w:rsid w:val="0041267A"/>
    <w:rsid w:val="00420F0C"/>
    <w:rsid w:val="00422A29"/>
    <w:rsid w:val="00424610"/>
    <w:rsid w:val="00432F16"/>
    <w:rsid w:val="00435EB0"/>
    <w:rsid w:val="00436ED6"/>
    <w:rsid w:val="00437971"/>
    <w:rsid w:val="0044096F"/>
    <w:rsid w:val="00446ADB"/>
    <w:rsid w:val="004472C8"/>
    <w:rsid w:val="004475C7"/>
    <w:rsid w:val="00455674"/>
    <w:rsid w:val="004563DC"/>
    <w:rsid w:val="00463B18"/>
    <w:rsid w:val="0047438A"/>
    <w:rsid w:val="004855FA"/>
    <w:rsid w:val="0049206E"/>
    <w:rsid w:val="00492C4C"/>
    <w:rsid w:val="00493A7D"/>
    <w:rsid w:val="004958C0"/>
    <w:rsid w:val="004A14D0"/>
    <w:rsid w:val="004A2EFD"/>
    <w:rsid w:val="004A3D7D"/>
    <w:rsid w:val="004A666F"/>
    <w:rsid w:val="004B1CC1"/>
    <w:rsid w:val="004D571C"/>
    <w:rsid w:val="004D69D3"/>
    <w:rsid w:val="004E01BA"/>
    <w:rsid w:val="004E7910"/>
    <w:rsid w:val="004F3A81"/>
    <w:rsid w:val="004F7992"/>
    <w:rsid w:val="00500952"/>
    <w:rsid w:val="005148D3"/>
    <w:rsid w:val="005175B8"/>
    <w:rsid w:val="00517F35"/>
    <w:rsid w:val="00522DE0"/>
    <w:rsid w:val="005239B8"/>
    <w:rsid w:val="005364E2"/>
    <w:rsid w:val="005445A2"/>
    <w:rsid w:val="00544BB2"/>
    <w:rsid w:val="00552E50"/>
    <w:rsid w:val="00553915"/>
    <w:rsid w:val="00554F6A"/>
    <w:rsid w:val="00561282"/>
    <w:rsid w:val="00563EBD"/>
    <w:rsid w:val="0056550C"/>
    <w:rsid w:val="0057053E"/>
    <w:rsid w:val="00571E64"/>
    <w:rsid w:val="005731FC"/>
    <w:rsid w:val="00582132"/>
    <w:rsid w:val="005964F0"/>
    <w:rsid w:val="005A3864"/>
    <w:rsid w:val="005A7335"/>
    <w:rsid w:val="005B1FA2"/>
    <w:rsid w:val="005C16B9"/>
    <w:rsid w:val="005C266C"/>
    <w:rsid w:val="005C7CD4"/>
    <w:rsid w:val="005D2238"/>
    <w:rsid w:val="005D48D7"/>
    <w:rsid w:val="005E0811"/>
    <w:rsid w:val="005F0215"/>
    <w:rsid w:val="005F24B6"/>
    <w:rsid w:val="005F7990"/>
    <w:rsid w:val="006003C5"/>
    <w:rsid w:val="0060492B"/>
    <w:rsid w:val="006102B2"/>
    <w:rsid w:val="006131CE"/>
    <w:rsid w:val="00613E5E"/>
    <w:rsid w:val="00616E31"/>
    <w:rsid w:val="00616F23"/>
    <w:rsid w:val="00622122"/>
    <w:rsid w:val="00624D53"/>
    <w:rsid w:val="00624EE1"/>
    <w:rsid w:val="00626E29"/>
    <w:rsid w:val="00635E3F"/>
    <w:rsid w:val="00636709"/>
    <w:rsid w:val="00642AC9"/>
    <w:rsid w:val="00643782"/>
    <w:rsid w:val="0064553D"/>
    <w:rsid w:val="00646430"/>
    <w:rsid w:val="00646DF8"/>
    <w:rsid w:val="0065008F"/>
    <w:rsid w:val="00650D3E"/>
    <w:rsid w:val="00651FA6"/>
    <w:rsid w:val="0066169C"/>
    <w:rsid w:val="00664B11"/>
    <w:rsid w:val="00667D33"/>
    <w:rsid w:val="00672947"/>
    <w:rsid w:val="00675C3B"/>
    <w:rsid w:val="00677571"/>
    <w:rsid w:val="00682AB9"/>
    <w:rsid w:val="00683E4F"/>
    <w:rsid w:val="006904C6"/>
    <w:rsid w:val="0069126A"/>
    <w:rsid w:val="006A0587"/>
    <w:rsid w:val="006A4351"/>
    <w:rsid w:val="006A435C"/>
    <w:rsid w:val="006A4AFF"/>
    <w:rsid w:val="006B20F9"/>
    <w:rsid w:val="006C0694"/>
    <w:rsid w:val="006C3C3C"/>
    <w:rsid w:val="006C66D8"/>
    <w:rsid w:val="006C68E2"/>
    <w:rsid w:val="006D56B3"/>
    <w:rsid w:val="006D71EA"/>
    <w:rsid w:val="006F0E31"/>
    <w:rsid w:val="006F28E7"/>
    <w:rsid w:val="007020D8"/>
    <w:rsid w:val="00702B57"/>
    <w:rsid w:val="00705E7D"/>
    <w:rsid w:val="00706EF7"/>
    <w:rsid w:val="0072273F"/>
    <w:rsid w:val="00722D88"/>
    <w:rsid w:val="007410DB"/>
    <w:rsid w:val="00751301"/>
    <w:rsid w:val="007679D1"/>
    <w:rsid w:val="00770264"/>
    <w:rsid w:val="007703A5"/>
    <w:rsid w:val="00772598"/>
    <w:rsid w:val="00792C98"/>
    <w:rsid w:val="007A0124"/>
    <w:rsid w:val="007A31F4"/>
    <w:rsid w:val="007A6270"/>
    <w:rsid w:val="007B1A80"/>
    <w:rsid w:val="007B6881"/>
    <w:rsid w:val="007B7116"/>
    <w:rsid w:val="007C0042"/>
    <w:rsid w:val="007C5A31"/>
    <w:rsid w:val="007C7B86"/>
    <w:rsid w:val="007D04F8"/>
    <w:rsid w:val="007D3DA6"/>
    <w:rsid w:val="007D6DB9"/>
    <w:rsid w:val="007E0C51"/>
    <w:rsid w:val="007E508A"/>
    <w:rsid w:val="007E5BF6"/>
    <w:rsid w:val="007F114D"/>
    <w:rsid w:val="007F464D"/>
    <w:rsid w:val="007F5A88"/>
    <w:rsid w:val="007F6ADF"/>
    <w:rsid w:val="008006D2"/>
    <w:rsid w:val="00805ABA"/>
    <w:rsid w:val="008135E7"/>
    <w:rsid w:val="00815F5D"/>
    <w:rsid w:val="00826B7F"/>
    <w:rsid w:val="00831F6E"/>
    <w:rsid w:val="008467B5"/>
    <w:rsid w:val="008521FF"/>
    <w:rsid w:val="00853960"/>
    <w:rsid w:val="008708F1"/>
    <w:rsid w:val="0088160A"/>
    <w:rsid w:val="00886050"/>
    <w:rsid w:val="0089769A"/>
    <w:rsid w:val="008A0787"/>
    <w:rsid w:val="008A34E7"/>
    <w:rsid w:val="008A6CDA"/>
    <w:rsid w:val="008B416C"/>
    <w:rsid w:val="008C035C"/>
    <w:rsid w:val="008C4569"/>
    <w:rsid w:val="008D3E02"/>
    <w:rsid w:val="008F1A59"/>
    <w:rsid w:val="008F46E7"/>
    <w:rsid w:val="008F69B5"/>
    <w:rsid w:val="008F6EC2"/>
    <w:rsid w:val="00901CE1"/>
    <w:rsid w:val="00907AEC"/>
    <w:rsid w:val="00907EE3"/>
    <w:rsid w:val="00930973"/>
    <w:rsid w:val="0093445C"/>
    <w:rsid w:val="00935266"/>
    <w:rsid w:val="00937086"/>
    <w:rsid w:val="00941D7C"/>
    <w:rsid w:val="00945CFB"/>
    <w:rsid w:val="00947943"/>
    <w:rsid w:val="00960977"/>
    <w:rsid w:val="0096109B"/>
    <w:rsid w:val="009622E4"/>
    <w:rsid w:val="0096259D"/>
    <w:rsid w:val="009707CC"/>
    <w:rsid w:val="00976B8B"/>
    <w:rsid w:val="00977753"/>
    <w:rsid w:val="00985130"/>
    <w:rsid w:val="009A4932"/>
    <w:rsid w:val="009B362A"/>
    <w:rsid w:val="009C2D65"/>
    <w:rsid w:val="009D0833"/>
    <w:rsid w:val="009D2B6C"/>
    <w:rsid w:val="009D5DEE"/>
    <w:rsid w:val="009E3EE2"/>
    <w:rsid w:val="009E4AA5"/>
    <w:rsid w:val="009E6D5F"/>
    <w:rsid w:val="009F4C45"/>
    <w:rsid w:val="00A23E71"/>
    <w:rsid w:val="00A27652"/>
    <w:rsid w:val="00A27AE5"/>
    <w:rsid w:val="00A46FE1"/>
    <w:rsid w:val="00A50B08"/>
    <w:rsid w:val="00A51B89"/>
    <w:rsid w:val="00A752F6"/>
    <w:rsid w:val="00A76D8E"/>
    <w:rsid w:val="00A85FBA"/>
    <w:rsid w:val="00A86552"/>
    <w:rsid w:val="00A90149"/>
    <w:rsid w:val="00A9141C"/>
    <w:rsid w:val="00A950FA"/>
    <w:rsid w:val="00A953C2"/>
    <w:rsid w:val="00A963B0"/>
    <w:rsid w:val="00A97DAB"/>
    <w:rsid w:val="00AA02CC"/>
    <w:rsid w:val="00AA02DD"/>
    <w:rsid w:val="00AA78C8"/>
    <w:rsid w:val="00AB0DC3"/>
    <w:rsid w:val="00AB10A1"/>
    <w:rsid w:val="00AB1EEA"/>
    <w:rsid w:val="00AB59C5"/>
    <w:rsid w:val="00AC6064"/>
    <w:rsid w:val="00AC7513"/>
    <w:rsid w:val="00AD22BE"/>
    <w:rsid w:val="00AD2859"/>
    <w:rsid w:val="00AD3356"/>
    <w:rsid w:val="00AD59DC"/>
    <w:rsid w:val="00AE168E"/>
    <w:rsid w:val="00AE6FAD"/>
    <w:rsid w:val="00AF4DDB"/>
    <w:rsid w:val="00AF585A"/>
    <w:rsid w:val="00B03CD0"/>
    <w:rsid w:val="00B12C11"/>
    <w:rsid w:val="00B2130E"/>
    <w:rsid w:val="00B23A6B"/>
    <w:rsid w:val="00B249AE"/>
    <w:rsid w:val="00B33B4B"/>
    <w:rsid w:val="00B37E61"/>
    <w:rsid w:val="00B41A27"/>
    <w:rsid w:val="00B80328"/>
    <w:rsid w:val="00B87D8C"/>
    <w:rsid w:val="00B920E4"/>
    <w:rsid w:val="00BA47FC"/>
    <w:rsid w:val="00BA580B"/>
    <w:rsid w:val="00BA72C5"/>
    <w:rsid w:val="00BB269A"/>
    <w:rsid w:val="00BB4500"/>
    <w:rsid w:val="00BB5161"/>
    <w:rsid w:val="00BC2D30"/>
    <w:rsid w:val="00BC34BB"/>
    <w:rsid w:val="00BC690B"/>
    <w:rsid w:val="00BD040C"/>
    <w:rsid w:val="00BD2C86"/>
    <w:rsid w:val="00BD6B03"/>
    <w:rsid w:val="00BD74F2"/>
    <w:rsid w:val="00BE13FF"/>
    <w:rsid w:val="00BE1E00"/>
    <w:rsid w:val="00BE3AB5"/>
    <w:rsid w:val="00BE3E09"/>
    <w:rsid w:val="00BF5736"/>
    <w:rsid w:val="00BF7C62"/>
    <w:rsid w:val="00C02169"/>
    <w:rsid w:val="00C10398"/>
    <w:rsid w:val="00C10545"/>
    <w:rsid w:val="00C21E9F"/>
    <w:rsid w:val="00C3798E"/>
    <w:rsid w:val="00C412DF"/>
    <w:rsid w:val="00C42094"/>
    <w:rsid w:val="00C444C5"/>
    <w:rsid w:val="00C46A9A"/>
    <w:rsid w:val="00C803B1"/>
    <w:rsid w:val="00C814F6"/>
    <w:rsid w:val="00C824C2"/>
    <w:rsid w:val="00C86789"/>
    <w:rsid w:val="00C86F5F"/>
    <w:rsid w:val="00C972D7"/>
    <w:rsid w:val="00CA10FD"/>
    <w:rsid w:val="00CA13D7"/>
    <w:rsid w:val="00CA1EE1"/>
    <w:rsid w:val="00CA5F3D"/>
    <w:rsid w:val="00CB2456"/>
    <w:rsid w:val="00CB2AF9"/>
    <w:rsid w:val="00CB781C"/>
    <w:rsid w:val="00CB7EBC"/>
    <w:rsid w:val="00CC3BC1"/>
    <w:rsid w:val="00CC6E75"/>
    <w:rsid w:val="00CC7AA7"/>
    <w:rsid w:val="00CC7B23"/>
    <w:rsid w:val="00CD35D9"/>
    <w:rsid w:val="00CD6EC7"/>
    <w:rsid w:val="00CE06C3"/>
    <w:rsid w:val="00CF2F79"/>
    <w:rsid w:val="00CF56A1"/>
    <w:rsid w:val="00CF7F07"/>
    <w:rsid w:val="00D0366E"/>
    <w:rsid w:val="00D233F5"/>
    <w:rsid w:val="00D30B9F"/>
    <w:rsid w:val="00D32934"/>
    <w:rsid w:val="00D32BED"/>
    <w:rsid w:val="00D44AA4"/>
    <w:rsid w:val="00D463B4"/>
    <w:rsid w:val="00D47158"/>
    <w:rsid w:val="00D53A7A"/>
    <w:rsid w:val="00D548C5"/>
    <w:rsid w:val="00D56247"/>
    <w:rsid w:val="00D6584B"/>
    <w:rsid w:val="00D659FF"/>
    <w:rsid w:val="00D77F36"/>
    <w:rsid w:val="00D9054A"/>
    <w:rsid w:val="00D93B53"/>
    <w:rsid w:val="00DA3391"/>
    <w:rsid w:val="00DB09CD"/>
    <w:rsid w:val="00DB4514"/>
    <w:rsid w:val="00DC7461"/>
    <w:rsid w:val="00DD0A5A"/>
    <w:rsid w:val="00DD17B9"/>
    <w:rsid w:val="00DD5FC1"/>
    <w:rsid w:val="00DE16CD"/>
    <w:rsid w:val="00DE2206"/>
    <w:rsid w:val="00DE2B87"/>
    <w:rsid w:val="00DE76F4"/>
    <w:rsid w:val="00DF3019"/>
    <w:rsid w:val="00DF7A07"/>
    <w:rsid w:val="00E20C11"/>
    <w:rsid w:val="00E24FA4"/>
    <w:rsid w:val="00E25E01"/>
    <w:rsid w:val="00E27EDF"/>
    <w:rsid w:val="00E342F8"/>
    <w:rsid w:val="00E46DFE"/>
    <w:rsid w:val="00E600BC"/>
    <w:rsid w:val="00E655A3"/>
    <w:rsid w:val="00E7062D"/>
    <w:rsid w:val="00E70AE9"/>
    <w:rsid w:val="00E73A8C"/>
    <w:rsid w:val="00E828B9"/>
    <w:rsid w:val="00E855F0"/>
    <w:rsid w:val="00E86561"/>
    <w:rsid w:val="00E9235C"/>
    <w:rsid w:val="00E943EE"/>
    <w:rsid w:val="00EA4B02"/>
    <w:rsid w:val="00EB114C"/>
    <w:rsid w:val="00EB2584"/>
    <w:rsid w:val="00EB4A02"/>
    <w:rsid w:val="00EC0DCA"/>
    <w:rsid w:val="00ED0B27"/>
    <w:rsid w:val="00ED2622"/>
    <w:rsid w:val="00ED4848"/>
    <w:rsid w:val="00ED5C54"/>
    <w:rsid w:val="00ED5E3A"/>
    <w:rsid w:val="00EE2A6B"/>
    <w:rsid w:val="00EE5AA6"/>
    <w:rsid w:val="00EF4C55"/>
    <w:rsid w:val="00EF6283"/>
    <w:rsid w:val="00F07DFD"/>
    <w:rsid w:val="00F11FB3"/>
    <w:rsid w:val="00F14EEB"/>
    <w:rsid w:val="00F17AD7"/>
    <w:rsid w:val="00F2294B"/>
    <w:rsid w:val="00F24DD3"/>
    <w:rsid w:val="00F31BB2"/>
    <w:rsid w:val="00F5238A"/>
    <w:rsid w:val="00F52810"/>
    <w:rsid w:val="00F561FB"/>
    <w:rsid w:val="00F603FF"/>
    <w:rsid w:val="00F625BF"/>
    <w:rsid w:val="00F81113"/>
    <w:rsid w:val="00F94267"/>
    <w:rsid w:val="00FA01A2"/>
    <w:rsid w:val="00FA468A"/>
    <w:rsid w:val="00FB345F"/>
    <w:rsid w:val="00FB66C0"/>
    <w:rsid w:val="00FC4961"/>
    <w:rsid w:val="00FC7C63"/>
    <w:rsid w:val="00FD17FF"/>
    <w:rsid w:val="00FD55BD"/>
    <w:rsid w:val="00FD6428"/>
    <w:rsid w:val="00FF2207"/>
    <w:rsid w:val="00FF448C"/>
    <w:rsid w:val="00FF5C48"/>
    <w:rsid w:val="00FF76A4"/>
    <w:rsid w:val="01863788"/>
    <w:rsid w:val="01D02593"/>
    <w:rsid w:val="02B453F5"/>
    <w:rsid w:val="04844DC2"/>
    <w:rsid w:val="04FB71F1"/>
    <w:rsid w:val="05071851"/>
    <w:rsid w:val="052C5F46"/>
    <w:rsid w:val="06364C2D"/>
    <w:rsid w:val="06FD7EBA"/>
    <w:rsid w:val="07B66392"/>
    <w:rsid w:val="07C312D8"/>
    <w:rsid w:val="07DC732F"/>
    <w:rsid w:val="088F209D"/>
    <w:rsid w:val="09710612"/>
    <w:rsid w:val="0AAB3A27"/>
    <w:rsid w:val="0CAF2D22"/>
    <w:rsid w:val="0CF518C1"/>
    <w:rsid w:val="0EB82D32"/>
    <w:rsid w:val="0F105271"/>
    <w:rsid w:val="101C4C17"/>
    <w:rsid w:val="103462C0"/>
    <w:rsid w:val="10D94B5C"/>
    <w:rsid w:val="11E42069"/>
    <w:rsid w:val="121D66EC"/>
    <w:rsid w:val="13061029"/>
    <w:rsid w:val="1443435F"/>
    <w:rsid w:val="14647430"/>
    <w:rsid w:val="18750953"/>
    <w:rsid w:val="1B053EE3"/>
    <w:rsid w:val="1B076B8A"/>
    <w:rsid w:val="1B0F0B7A"/>
    <w:rsid w:val="1D3F49B0"/>
    <w:rsid w:val="1E4D2ABA"/>
    <w:rsid w:val="1FE27E37"/>
    <w:rsid w:val="22816D4C"/>
    <w:rsid w:val="23412D55"/>
    <w:rsid w:val="2582363F"/>
    <w:rsid w:val="285D3F50"/>
    <w:rsid w:val="29FD57B6"/>
    <w:rsid w:val="2A04508E"/>
    <w:rsid w:val="2A5921BA"/>
    <w:rsid w:val="2AA674BA"/>
    <w:rsid w:val="2B890B85"/>
    <w:rsid w:val="2BBB31D3"/>
    <w:rsid w:val="2C7F4289"/>
    <w:rsid w:val="2C9B5038"/>
    <w:rsid w:val="2D826081"/>
    <w:rsid w:val="2E6D27ED"/>
    <w:rsid w:val="30EB2D8C"/>
    <w:rsid w:val="320E32A6"/>
    <w:rsid w:val="324F0F3B"/>
    <w:rsid w:val="325837F4"/>
    <w:rsid w:val="326B6169"/>
    <w:rsid w:val="3301185F"/>
    <w:rsid w:val="343A0806"/>
    <w:rsid w:val="34520C19"/>
    <w:rsid w:val="35195531"/>
    <w:rsid w:val="361404A4"/>
    <w:rsid w:val="387D2762"/>
    <w:rsid w:val="38C1268A"/>
    <w:rsid w:val="38DC02EA"/>
    <w:rsid w:val="3BFB548B"/>
    <w:rsid w:val="3DCD25EA"/>
    <w:rsid w:val="3F535FC9"/>
    <w:rsid w:val="412079BF"/>
    <w:rsid w:val="4142220A"/>
    <w:rsid w:val="414573B4"/>
    <w:rsid w:val="42D426D5"/>
    <w:rsid w:val="44AF7156"/>
    <w:rsid w:val="45241E64"/>
    <w:rsid w:val="45ED2FF4"/>
    <w:rsid w:val="47142139"/>
    <w:rsid w:val="474A0690"/>
    <w:rsid w:val="47E123FC"/>
    <w:rsid w:val="47F17427"/>
    <w:rsid w:val="480213E1"/>
    <w:rsid w:val="4A484FB0"/>
    <w:rsid w:val="4AD65FAB"/>
    <w:rsid w:val="4B655050"/>
    <w:rsid w:val="4C6F7FDE"/>
    <w:rsid w:val="4C8F4CCA"/>
    <w:rsid w:val="4E9634D2"/>
    <w:rsid w:val="4ED60459"/>
    <w:rsid w:val="503B1CEB"/>
    <w:rsid w:val="51C06859"/>
    <w:rsid w:val="51FE6168"/>
    <w:rsid w:val="53003C7E"/>
    <w:rsid w:val="562F45E4"/>
    <w:rsid w:val="577E5FBA"/>
    <w:rsid w:val="58087AD5"/>
    <w:rsid w:val="58F54CA3"/>
    <w:rsid w:val="5976036C"/>
    <w:rsid w:val="598649EC"/>
    <w:rsid w:val="59F1750E"/>
    <w:rsid w:val="5AB548C9"/>
    <w:rsid w:val="5ACC62A4"/>
    <w:rsid w:val="5AD77E09"/>
    <w:rsid w:val="5C885A74"/>
    <w:rsid w:val="5E013EE0"/>
    <w:rsid w:val="61812E22"/>
    <w:rsid w:val="618D2FD4"/>
    <w:rsid w:val="62A75E53"/>
    <w:rsid w:val="63526014"/>
    <w:rsid w:val="644D6C7E"/>
    <w:rsid w:val="65A2780B"/>
    <w:rsid w:val="65F00449"/>
    <w:rsid w:val="66537C31"/>
    <w:rsid w:val="68107EB9"/>
    <w:rsid w:val="6A18680F"/>
    <w:rsid w:val="6AB62CE9"/>
    <w:rsid w:val="6BAA4CA7"/>
    <w:rsid w:val="6C836199"/>
    <w:rsid w:val="6CD66270"/>
    <w:rsid w:val="6D1A2281"/>
    <w:rsid w:val="6E33421F"/>
    <w:rsid w:val="6F6312D1"/>
    <w:rsid w:val="71344B93"/>
    <w:rsid w:val="72E049AD"/>
    <w:rsid w:val="759A708E"/>
    <w:rsid w:val="768A14F8"/>
    <w:rsid w:val="78565C16"/>
    <w:rsid w:val="7A116803"/>
    <w:rsid w:val="7A1E7B38"/>
    <w:rsid w:val="7C53781E"/>
    <w:rsid w:val="7C702480"/>
    <w:rsid w:val="7CB732FF"/>
    <w:rsid w:val="7DE94601"/>
    <w:rsid w:val="7F97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autoRedefine/>
    <w:semiHidden/>
    <w:qFormat/>
    <w:uiPriority w:val="0"/>
    <w:pPr>
      <w:shd w:val="clear" w:color="auto" w:fill="000080"/>
    </w:pPr>
  </w:style>
  <w:style w:type="paragraph" w:styleId="4">
    <w:name w:val="Balloon Text"/>
    <w:basedOn w:val="1"/>
    <w:autoRedefine/>
    <w:qFormat/>
    <w:uiPriority w:val="0"/>
    <w:rPr>
      <w:sz w:val="18"/>
      <w:szCs w:val="18"/>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autoRedefine/>
    <w:qFormat/>
    <w:uiPriority w:val="22"/>
    <w:rPr>
      <w:b/>
    </w:rPr>
  </w:style>
  <w:style w:type="character" w:styleId="11">
    <w:name w:val="Emphasis"/>
    <w:basedOn w:val="9"/>
    <w:autoRedefine/>
    <w:qFormat/>
    <w:uiPriority w:val="20"/>
    <w:rPr>
      <w:i/>
    </w:rPr>
  </w:style>
  <w:style w:type="character" w:styleId="12">
    <w:name w:val="Hyperlink"/>
    <w:autoRedefine/>
    <w:qFormat/>
    <w:uiPriority w:val="0"/>
    <w:rPr>
      <w:color w:val="0000FF"/>
      <w:u w:val="single"/>
    </w:rPr>
  </w:style>
  <w:style w:type="character" w:customStyle="1" w:styleId="13">
    <w:name w:val="页脚 字符"/>
    <w:link w:val="5"/>
    <w:autoRedefine/>
    <w:qFormat/>
    <w:uiPriority w:val="99"/>
    <w:rPr>
      <w:kern w:val="2"/>
      <w:sz w:val="18"/>
      <w:szCs w:val="18"/>
    </w:rPr>
  </w:style>
  <w:style w:type="paragraph" w:styleId="14">
    <w:name w:val="List Paragraph"/>
    <w:basedOn w:val="1"/>
    <w:autoRedefine/>
    <w:qFormat/>
    <w:uiPriority w:val="0"/>
    <w:pPr>
      <w:ind w:firstLine="420" w:firstLineChars="200"/>
    </w:pPr>
  </w:style>
  <w:style w:type="character" w:customStyle="1" w:styleId="15">
    <w:name w:val="font11"/>
    <w:basedOn w:val="9"/>
    <w:autoRedefine/>
    <w:qFormat/>
    <w:uiPriority w:val="0"/>
    <w:rPr>
      <w:rFonts w:hint="default" w:ascii="Times New Roman" w:hAnsi="Times New Roman" w:cs="Times New Roman"/>
      <w:color w:val="000000"/>
      <w:sz w:val="21"/>
      <w:szCs w:val="21"/>
      <w:u w:val="none"/>
    </w:rPr>
  </w:style>
  <w:style w:type="character" w:customStyle="1" w:styleId="16">
    <w:name w:val="font21"/>
    <w:basedOn w:val="9"/>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ui</Company>
  <Pages>5</Pages>
  <Words>3679</Words>
  <Characters>4076</Characters>
  <Lines>35</Lines>
  <Paragraphs>9</Paragraphs>
  <TotalTime>2</TotalTime>
  <ScaleCrop>false</ScaleCrop>
  <LinksUpToDate>false</LinksUpToDate>
  <CharactersWithSpaces>4787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2023-02-12T04:45:00Z</dcterms:created>
  <dc:creator>chenhui</dc:creator>
  <cp:lastModifiedBy>蔡琪</cp:lastModifiedBy>
  <cp:lastPrinted>2023-11-08T01:03:00Z</cp:lastPrinted>
  <dcterms:modified xsi:type="dcterms:W3CDTF">2024-07-12T00:30:23Z</dcterms:modified>
  <dc:title>□Q</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ED487EB79018403FA35D1DFC18C1D6A5</vt:lpwstr>
  </property>
</Properties>
</file>